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61" w:lineRule="auto" w:before="45"/>
        <w:ind w:left="1324" w:right="990" w:firstLine="489"/>
        <w:jc w:val="left"/>
        <w:rPr>
          <w:i/>
          <w:sz w:val="16"/>
        </w:rPr>
      </w:pPr>
      <w:r>
        <w:rPr>
          <w:i/>
          <w:color w:val="231F20"/>
          <w:sz w:val="16"/>
        </w:rPr>
        <w:t>Uluslararası Yönetim İktisat ve İşletme Dergisi, Cilt 18, Sayı 4, 2022 </w:t>
      </w:r>
      <w:r>
        <w:rPr>
          <w:i/>
          <w:color w:val="231F20"/>
          <w:sz w:val="16"/>
        </w:rPr>
        <w:t>International Journal of Management Economics and Business, Vol. 18, No. 4, 2022</w:t>
      </w:r>
    </w:p>
    <w:p>
      <w:pPr>
        <w:pStyle w:val="BodyText"/>
        <w:spacing w:before="9"/>
        <w:rPr>
          <w:i/>
          <w:sz w:val="13"/>
        </w:rPr>
      </w:pPr>
    </w:p>
    <w:p>
      <w:pPr>
        <w:spacing w:before="67"/>
        <w:ind w:left="2200" w:right="2200" w:firstLine="0"/>
        <w:jc w:val="center"/>
        <w:rPr>
          <w:b/>
          <w:i/>
          <w:sz w:val="18"/>
        </w:rPr>
      </w:pPr>
      <w:r>
        <w:rPr>
          <w:b/>
          <w:color w:val="231F20"/>
          <w:sz w:val="18"/>
        </w:rPr>
        <w:t>Araştırma Makalesi / </w:t>
      </w:r>
      <w:r>
        <w:rPr>
          <w:b/>
          <w:i/>
          <w:color w:val="231F20"/>
          <w:sz w:val="18"/>
        </w:rPr>
        <w:t>Research Article</w:t>
      </w:r>
    </w:p>
    <w:p>
      <w:pPr>
        <w:pStyle w:val="Title"/>
        <w:spacing w:line="285" w:lineRule="auto" w:before="155"/>
        <w:ind w:left="200" w:right="199"/>
        <w:jc w:val="center"/>
      </w:pPr>
      <w:r>
        <w:rPr>
          <w:color w:val="034694"/>
        </w:rPr>
        <w:t>VUCA </w:t>
      </w:r>
      <w:r>
        <w:rPr>
          <w:color w:val="034694"/>
          <w:spacing w:val="-4"/>
        </w:rPr>
        <w:t>ORTAMINDA </w:t>
      </w:r>
      <w:r>
        <w:rPr>
          <w:color w:val="034694"/>
        </w:rPr>
        <w:t>ÇALIŞANLARIN ÇEVİK LİDERLİK BECERİSİ ALGISI:</w:t>
      </w:r>
      <w:r>
        <w:rPr>
          <w:color w:val="034694"/>
          <w:spacing w:val="-6"/>
        </w:rPr>
        <w:t> </w:t>
      </w:r>
      <w:r>
        <w:rPr>
          <w:color w:val="034694"/>
        </w:rPr>
        <w:t>BİR</w:t>
      </w:r>
      <w:r>
        <w:rPr>
          <w:color w:val="034694"/>
          <w:spacing w:val="-4"/>
        </w:rPr>
        <w:t> </w:t>
      </w:r>
      <w:r>
        <w:rPr>
          <w:color w:val="034694"/>
        </w:rPr>
        <w:t>ÖLÇEK</w:t>
      </w:r>
      <w:r>
        <w:rPr>
          <w:color w:val="034694"/>
          <w:spacing w:val="-5"/>
        </w:rPr>
        <w:t> </w:t>
      </w:r>
      <w:r>
        <w:rPr>
          <w:color w:val="034694"/>
        </w:rPr>
        <w:t>GELİŞTİRME</w:t>
      </w:r>
      <w:r>
        <w:rPr>
          <w:color w:val="034694"/>
          <w:spacing w:val="-4"/>
        </w:rPr>
        <w:t> </w:t>
      </w:r>
      <w:r>
        <w:rPr>
          <w:color w:val="034694"/>
        </w:rPr>
        <w:t>ÇALIŞMASI</w:t>
      </w:r>
      <w:r>
        <w:rPr>
          <w:color w:val="034694"/>
          <w:spacing w:val="-8"/>
        </w:rPr>
        <w:t> </w:t>
      </w:r>
      <w:r>
        <w:rPr>
          <w:color w:val="034694"/>
        </w:rPr>
        <w:t>VE</w:t>
      </w:r>
      <w:r>
        <w:rPr>
          <w:color w:val="034694"/>
          <w:spacing w:val="-5"/>
        </w:rPr>
        <w:t> </w:t>
      </w:r>
      <w:r>
        <w:rPr>
          <w:color w:val="034694"/>
        </w:rPr>
        <w:t>SAHA</w:t>
      </w:r>
      <w:r>
        <w:rPr>
          <w:color w:val="034694"/>
          <w:spacing w:val="-27"/>
        </w:rPr>
        <w:t> </w:t>
      </w:r>
      <w:r>
        <w:rPr>
          <w:color w:val="034694"/>
        </w:rPr>
        <w:t>ARAŞTIRMASI*</w:t>
      </w:r>
    </w:p>
    <w:p>
      <w:pPr>
        <w:pStyle w:val="BodyText"/>
        <w:rPr>
          <w:b/>
        </w:rPr>
      </w:pPr>
    </w:p>
    <w:p>
      <w:pPr>
        <w:pStyle w:val="BodyText"/>
        <w:spacing w:before="2"/>
        <w:rPr>
          <w:b/>
        </w:rPr>
      </w:pPr>
    </w:p>
    <w:p>
      <w:pPr>
        <w:spacing w:before="0"/>
        <w:ind w:left="2200" w:right="2200" w:firstLine="0"/>
        <w:jc w:val="center"/>
        <w:rPr>
          <w:b/>
          <w:sz w:val="18"/>
        </w:rPr>
      </w:pPr>
      <w:r>
        <w:rPr>
          <w:b/>
          <w:color w:val="231F20"/>
          <w:sz w:val="18"/>
        </w:rPr>
        <w:t>Öğretim Görevlisi </w:t>
      </w:r>
      <w:r>
        <w:rPr>
          <w:b/>
          <w:color w:val="231F20"/>
          <w:spacing w:val="-6"/>
          <w:sz w:val="18"/>
        </w:rPr>
        <w:t>Dr. </w:t>
      </w:r>
      <w:r>
        <w:rPr>
          <w:b/>
          <w:color w:val="231F20"/>
          <w:spacing w:val="-4"/>
          <w:sz w:val="18"/>
        </w:rPr>
        <w:t>Yonca</w:t>
      </w:r>
      <w:r>
        <w:rPr>
          <w:b/>
          <w:color w:val="231F20"/>
          <w:spacing w:val="-9"/>
          <w:sz w:val="18"/>
        </w:rPr>
        <w:t> </w:t>
      </w:r>
      <w:r>
        <w:rPr>
          <w:b/>
          <w:color w:val="231F20"/>
          <w:sz w:val="18"/>
        </w:rPr>
        <w:t>BİR </w:t>
      </w:r>
      <w:r>
        <w:rPr>
          <w:b/>
          <w:color w:val="231F20"/>
          <w:spacing w:val="-1"/>
          <w:sz w:val="18"/>
        </w:rPr>
        <w:drawing>
          <wp:inline distT="0" distB="0" distL="0" distR="0">
            <wp:extent cx="101434" cy="10142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101434" cy="101422"/>
                    </a:xfrm>
                    <a:prstGeom prst="rect">
                      <a:avLst/>
                    </a:prstGeom>
                  </pic:spPr>
                </pic:pic>
              </a:graphicData>
            </a:graphic>
          </wp:inline>
        </w:drawing>
      </w:r>
      <w:r>
        <w:rPr>
          <w:b/>
          <w:color w:val="231F20"/>
          <w:spacing w:val="-1"/>
          <w:sz w:val="18"/>
        </w:rPr>
      </w:r>
    </w:p>
    <w:p>
      <w:pPr>
        <w:spacing w:before="12"/>
        <w:ind w:left="2200" w:right="2201" w:firstLine="0"/>
        <w:jc w:val="center"/>
        <w:rPr>
          <w:i/>
          <w:sz w:val="16"/>
        </w:rPr>
      </w:pPr>
      <w:r>
        <w:rPr>
          <w:color w:val="231F20"/>
          <w:sz w:val="16"/>
        </w:rPr>
        <w:t>Çağ Üniversitesi, MYO, Mersin, </w:t>
      </w:r>
      <w:r>
        <w:rPr>
          <w:i/>
          <w:color w:val="231F20"/>
          <w:sz w:val="16"/>
        </w:rPr>
        <w:t>(yoncabir@cag.edu.tr)</w:t>
      </w:r>
    </w:p>
    <w:p>
      <w:pPr>
        <w:spacing w:before="111"/>
        <w:ind w:left="2200" w:right="2200" w:firstLine="0"/>
        <w:jc w:val="center"/>
        <w:rPr>
          <w:b/>
          <w:sz w:val="18"/>
        </w:rPr>
      </w:pPr>
      <w:r>
        <w:rPr>
          <w:b/>
          <w:color w:val="231F20"/>
          <w:sz w:val="18"/>
        </w:rPr>
        <w:t>Prof. </w:t>
      </w:r>
      <w:r>
        <w:rPr>
          <w:b/>
          <w:color w:val="231F20"/>
          <w:spacing w:val="-6"/>
          <w:sz w:val="18"/>
        </w:rPr>
        <w:t>Dr. </w:t>
      </w:r>
      <w:r>
        <w:rPr>
          <w:b/>
          <w:color w:val="231F20"/>
          <w:sz w:val="18"/>
        </w:rPr>
        <w:t>Murat KOÇ  </w:t>
      </w:r>
      <w:r>
        <w:rPr>
          <w:b/>
          <w:color w:val="231F20"/>
          <w:spacing w:val="-1"/>
          <w:sz w:val="18"/>
        </w:rPr>
        <w:drawing>
          <wp:inline distT="0" distB="0" distL="0" distR="0">
            <wp:extent cx="101434" cy="101422"/>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01434" cy="101422"/>
                    </a:xfrm>
                    <a:prstGeom prst="rect">
                      <a:avLst/>
                    </a:prstGeom>
                  </pic:spPr>
                </pic:pic>
              </a:graphicData>
            </a:graphic>
          </wp:inline>
        </w:drawing>
      </w:r>
      <w:r>
        <w:rPr>
          <w:b/>
          <w:color w:val="231F20"/>
          <w:spacing w:val="-1"/>
          <w:sz w:val="18"/>
        </w:rPr>
      </w:r>
    </w:p>
    <w:p>
      <w:pPr>
        <w:spacing w:before="11"/>
        <w:ind w:left="2200" w:right="2200" w:firstLine="0"/>
        <w:jc w:val="center"/>
        <w:rPr>
          <w:i/>
          <w:sz w:val="16"/>
        </w:rPr>
      </w:pPr>
      <w:r>
        <w:rPr>
          <w:color w:val="231F20"/>
          <w:sz w:val="16"/>
        </w:rPr>
        <w:t>Çağ Üniversitesi, SBE, Mersin, </w:t>
      </w:r>
      <w:r>
        <w:rPr>
          <w:i/>
          <w:color w:val="231F20"/>
          <w:sz w:val="16"/>
        </w:rPr>
        <w:t>(muratkoc@cag.edu.tr)</w:t>
      </w:r>
    </w:p>
    <w:p>
      <w:pPr>
        <w:pStyle w:val="BodyText"/>
        <w:rPr>
          <w:i/>
        </w:rPr>
      </w:pPr>
    </w:p>
    <w:p>
      <w:pPr>
        <w:pStyle w:val="BodyText"/>
        <w:spacing w:before="7"/>
        <w:rPr>
          <w:i/>
          <w:sz w:val="17"/>
        </w:rPr>
      </w:pPr>
    </w:p>
    <w:p>
      <w:pPr>
        <w:spacing w:before="67"/>
        <w:ind w:left="2200" w:right="2200" w:firstLine="0"/>
        <w:jc w:val="center"/>
        <w:rPr>
          <w:b/>
          <w:sz w:val="18"/>
        </w:rPr>
      </w:pPr>
      <w:r>
        <w:rPr>
          <w:b/>
          <w:color w:val="034694"/>
          <w:sz w:val="18"/>
        </w:rPr>
        <w:t>ÖZET</w:t>
      </w:r>
    </w:p>
    <w:p>
      <w:pPr>
        <w:spacing w:line="254" w:lineRule="auto" w:before="70"/>
        <w:ind w:left="252" w:right="247" w:firstLine="567"/>
        <w:jc w:val="both"/>
        <w:rPr>
          <w:i/>
          <w:sz w:val="18"/>
        </w:rPr>
      </w:pPr>
      <w:r>
        <w:rPr>
          <w:i/>
          <w:color w:val="231F20"/>
          <w:sz w:val="18"/>
        </w:rPr>
        <w:t>Bilgi</w:t>
      </w:r>
      <w:r>
        <w:rPr>
          <w:i/>
          <w:color w:val="231F20"/>
          <w:spacing w:val="-6"/>
          <w:sz w:val="18"/>
        </w:rPr>
        <w:t> </w:t>
      </w:r>
      <w:r>
        <w:rPr>
          <w:i/>
          <w:color w:val="231F20"/>
          <w:sz w:val="18"/>
        </w:rPr>
        <w:t>ve</w:t>
      </w:r>
      <w:r>
        <w:rPr>
          <w:i/>
          <w:color w:val="231F20"/>
          <w:spacing w:val="-5"/>
          <w:sz w:val="18"/>
        </w:rPr>
        <w:t> </w:t>
      </w:r>
      <w:r>
        <w:rPr>
          <w:i/>
          <w:color w:val="231F20"/>
          <w:sz w:val="18"/>
        </w:rPr>
        <w:t>teknoloji</w:t>
      </w:r>
      <w:r>
        <w:rPr>
          <w:i/>
          <w:color w:val="231F20"/>
          <w:spacing w:val="-5"/>
          <w:sz w:val="18"/>
        </w:rPr>
        <w:t> </w:t>
      </w:r>
      <w:r>
        <w:rPr>
          <w:i/>
          <w:color w:val="231F20"/>
          <w:sz w:val="18"/>
        </w:rPr>
        <w:t>alanındaki</w:t>
      </w:r>
      <w:r>
        <w:rPr>
          <w:i/>
          <w:color w:val="231F20"/>
          <w:spacing w:val="-6"/>
          <w:sz w:val="18"/>
        </w:rPr>
        <w:t> </w:t>
      </w:r>
      <w:r>
        <w:rPr>
          <w:i/>
          <w:color w:val="231F20"/>
          <w:sz w:val="18"/>
        </w:rPr>
        <w:t>hızlı</w:t>
      </w:r>
      <w:r>
        <w:rPr>
          <w:i/>
          <w:color w:val="231F20"/>
          <w:spacing w:val="-5"/>
          <w:sz w:val="18"/>
        </w:rPr>
        <w:t> </w:t>
      </w:r>
      <w:r>
        <w:rPr>
          <w:i/>
          <w:color w:val="231F20"/>
          <w:sz w:val="18"/>
        </w:rPr>
        <w:t>gelişmeler,</w:t>
      </w:r>
      <w:r>
        <w:rPr>
          <w:i/>
          <w:color w:val="231F20"/>
          <w:spacing w:val="-5"/>
          <w:sz w:val="18"/>
        </w:rPr>
        <w:t> </w:t>
      </w:r>
      <w:r>
        <w:rPr>
          <w:i/>
          <w:color w:val="231F20"/>
          <w:sz w:val="18"/>
        </w:rPr>
        <w:t>değişen</w:t>
      </w:r>
      <w:r>
        <w:rPr>
          <w:i/>
          <w:color w:val="231F20"/>
          <w:spacing w:val="-6"/>
          <w:sz w:val="18"/>
        </w:rPr>
        <w:t> </w:t>
      </w:r>
      <w:r>
        <w:rPr>
          <w:i/>
          <w:color w:val="231F20"/>
          <w:sz w:val="18"/>
        </w:rPr>
        <w:t>müşteri</w:t>
      </w:r>
      <w:r>
        <w:rPr>
          <w:i/>
          <w:color w:val="231F20"/>
          <w:spacing w:val="-5"/>
          <w:sz w:val="18"/>
        </w:rPr>
        <w:t> </w:t>
      </w:r>
      <w:r>
        <w:rPr>
          <w:i/>
          <w:color w:val="231F20"/>
          <w:sz w:val="18"/>
        </w:rPr>
        <w:t>talepleri,</w:t>
      </w:r>
      <w:r>
        <w:rPr>
          <w:i/>
          <w:color w:val="231F20"/>
          <w:spacing w:val="-5"/>
          <w:sz w:val="18"/>
        </w:rPr>
        <w:t> </w:t>
      </w:r>
      <w:r>
        <w:rPr>
          <w:i/>
          <w:color w:val="231F20"/>
          <w:sz w:val="18"/>
        </w:rPr>
        <w:t>çalışma</w:t>
      </w:r>
      <w:r>
        <w:rPr>
          <w:i/>
          <w:color w:val="231F20"/>
          <w:spacing w:val="-6"/>
          <w:sz w:val="18"/>
        </w:rPr>
        <w:t> </w:t>
      </w:r>
      <w:r>
        <w:rPr>
          <w:i/>
          <w:color w:val="231F20"/>
          <w:sz w:val="18"/>
        </w:rPr>
        <w:t>koşulları,</w:t>
      </w:r>
      <w:r>
        <w:rPr>
          <w:i/>
          <w:color w:val="231F20"/>
          <w:spacing w:val="-5"/>
          <w:sz w:val="18"/>
        </w:rPr>
        <w:t> </w:t>
      </w:r>
      <w:r>
        <w:rPr>
          <w:i/>
          <w:color w:val="231F20"/>
          <w:sz w:val="18"/>
        </w:rPr>
        <w:t>çalışan </w:t>
      </w:r>
      <w:r>
        <w:rPr>
          <w:i/>
          <w:color w:val="231F20"/>
          <w:sz w:val="18"/>
        </w:rPr>
        <w:t>beklentileri, ekonomik dalgalanmalar, son dönemdeki pandemi ortamının getirdiği belirsizlikler gelecek dönemler için planlama ve öngörü yapmayı zorlaştırmaktadır. VUCA olarak ifade edilen bu ortamlarda yeni yönetsel yaklaşımlara evrilmeye ihtiyaç </w:t>
      </w:r>
      <w:r>
        <w:rPr>
          <w:i/>
          <w:color w:val="231F20"/>
          <w:spacing w:val="-4"/>
          <w:sz w:val="18"/>
        </w:rPr>
        <w:t>vardır. </w:t>
      </w:r>
      <w:r>
        <w:rPr>
          <w:i/>
          <w:color w:val="231F20"/>
          <w:sz w:val="18"/>
        </w:rPr>
        <w:t>Bu yaklaşımlardan birisi çevik liderlik ve becerisi ile algılamasıdır. Bu araştırmada çevik liderlik becerisi algısını belirlemeye yönelik bir ölçme aracı geliştirmek amaçlanmıştır. VUCA algısının çevik liderlik becerisi algısı üzerindeki etkisi </w:t>
      </w:r>
      <w:r>
        <w:rPr>
          <w:i/>
          <w:color w:val="231F20"/>
          <w:spacing w:val="-3"/>
          <w:sz w:val="18"/>
        </w:rPr>
        <w:t>araştırılmıştır. </w:t>
      </w:r>
      <w:r>
        <w:rPr>
          <w:i/>
          <w:color w:val="231F20"/>
          <w:sz w:val="18"/>
        </w:rPr>
        <w:t>Araştırmada geliştirilen ölçeğin çevik liderlik becerisi algısı ile ilgili yapılacak çalışmalara ve </w:t>
      </w:r>
      <w:r>
        <w:rPr>
          <w:i/>
          <w:color w:val="231F20"/>
          <w:spacing w:val="-3"/>
          <w:sz w:val="18"/>
        </w:rPr>
        <w:t>örgütsel </w:t>
      </w:r>
      <w:r>
        <w:rPr>
          <w:i/>
          <w:color w:val="231F20"/>
          <w:sz w:val="18"/>
        </w:rPr>
        <w:t>davranış</w:t>
      </w:r>
      <w:r>
        <w:rPr>
          <w:i/>
          <w:color w:val="231F20"/>
          <w:spacing w:val="-15"/>
          <w:sz w:val="18"/>
        </w:rPr>
        <w:t> </w:t>
      </w:r>
      <w:r>
        <w:rPr>
          <w:i/>
          <w:color w:val="231F20"/>
          <w:sz w:val="18"/>
        </w:rPr>
        <w:t>alanına</w:t>
      </w:r>
      <w:r>
        <w:rPr>
          <w:i/>
          <w:color w:val="231F20"/>
          <w:spacing w:val="-14"/>
          <w:sz w:val="18"/>
        </w:rPr>
        <w:t> </w:t>
      </w:r>
      <w:r>
        <w:rPr>
          <w:i/>
          <w:color w:val="231F20"/>
          <w:sz w:val="18"/>
        </w:rPr>
        <w:t>katkı</w:t>
      </w:r>
      <w:r>
        <w:rPr>
          <w:i/>
          <w:color w:val="231F20"/>
          <w:spacing w:val="-14"/>
          <w:sz w:val="18"/>
        </w:rPr>
        <w:t> </w:t>
      </w:r>
      <w:r>
        <w:rPr>
          <w:i/>
          <w:color w:val="231F20"/>
          <w:sz w:val="18"/>
        </w:rPr>
        <w:t>sağlayacağı</w:t>
      </w:r>
      <w:r>
        <w:rPr>
          <w:i/>
          <w:color w:val="231F20"/>
          <w:spacing w:val="-15"/>
          <w:sz w:val="18"/>
        </w:rPr>
        <w:t> </w:t>
      </w:r>
      <w:r>
        <w:rPr>
          <w:i/>
          <w:color w:val="231F20"/>
          <w:sz w:val="18"/>
        </w:rPr>
        <w:t>değerlendirilmektedir.</w:t>
      </w:r>
      <w:r>
        <w:rPr>
          <w:i/>
          <w:color w:val="231F20"/>
          <w:spacing w:val="-17"/>
          <w:sz w:val="18"/>
        </w:rPr>
        <w:t> </w:t>
      </w:r>
      <w:r>
        <w:rPr>
          <w:i/>
          <w:color w:val="231F20"/>
          <w:sz w:val="18"/>
        </w:rPr>
        <w:t>Araştırma</w:t>
      </w:r>
      <w:r>
        <w:rPr>
          <w:i/>
          <w:color w:val="231F20"/>
          <w:spacing w:val="-14"/>
          <w:sz w:val="18"/>
        </w:rPr>
        <w:t> </w:t>
      </w:r>
      <w:r>
        <w:rPr>
          <w:i/>
          <w:color w:val="231F20"/>
          <w:sz w:val="18"/>
        </w:rPr>
        <w:t>TR</w:t>
      </w:r>
      <w:r>
        <w:rPr>
          <w:i/>
          <w:color w:val="231F20"/>
          <w:spacing w:val="-14"/>
          <w:sz w:val="18"/>
        </w:rPr>
        <w:t> </w:t>
      </w:r>
      <w:r>
        <w:rPr>
          <w:i/>
          <w:color w:val="231F20"/>
          <w:sz w:val="18"/>
        </w:rPr>
        <w:t>62</w:t>
      </w:r>
      <w:r>
        <w:rPr>
          <w:i/>
          <w:color w:val="231F20"/>
          <w:spacing w:val="-15"/>
          <w:sz w:val="18"/>
        </w:rPr>
        <w:t> </w:t>
      </w:r>
      <w:r>
        <w:rPr>
          <w:i/>
          <w:color w:val="231F20"/>
          <w:sz w:val="18"/>
        </w:rPr>
        <w:t>(Adana–Mersin)</w:t>
      </w:r>
      <w:r>
        <w:rPr>
          <w:i/>
          <w:color w:val="231F20"/>
          <w:spacing w:val="-14"/>
          <w:sz w:val="18"/>
        </w:rPr>
        <w:t> </w:t>
      </w:r>
      <w:r>
        <w:rPr>
          <w:i/>
          <w:color w:val="231F20"/>
          <w:sz w:val="18"/>
        </w:rPr>
        <w:t>Bölgesindeki özel sektörlerde faaliyet gösteren işletmelerde çalışanların katılımıyla gerçekleştirilmiştir. Araştırma sonucunda</w:t>
      </w:r>
      <w:r>
        <w:rPr>
          <w:i/>
          <w:color w:val="231F20"/>
          <w:spacing w:val="-11"/>
          <w:sz w:val="18"/>
        </w:rPr>
        <w:t> </w:t>
      </w:r>
      <w:r>
        <w:rPr>
          <w:i/>
          <w:color w:val="231F20"/>
          <w:sz w:val="18"/>
        </w:rPr>
        <w:t>çevik</w:t>
      </w:r>
      <w:r>
        <w:rPr>
          <w:i/>
          <w:color w:val="231F20"/>
          <w:spacing w:val="-10"/>
          <w:sz w:val="18"/>
        </w:rPr>
        <w:t> </w:t>
      </w:r>
      <w:r>
        <w:rPr>
          <w:i/>
          <w:color w:val="231F20"/>
          <w:sz w:val="18"/>
        </w:rPr>
        <w:t>liderlik</w:t>
      </w:r>
      <w:r>
        <w:rPr>
          <w:i/>
          <w:color w:val="231F20"/>
          <w:spacing w:val="-10"/>
          <w:sz w:val="18"/>
        </w:rPr>
        <w:t> </w:t>
      </w:r>
      <w:r>
        <w:rPr>
          <w:i/>
          <w:color w:val="231F20"/>
          <w:sz w:val="18"/>
        </w:rPr>
        <w:t>becerisi</w:t>
      </w:r>
      <w:r>
        <w:rPr>
          <w:i/>
          <w:color w:val="231F20"/>
          <w:spacing w:val="-11"/>
          <w:sz w:val="18"/>
        </w:rPr>
        <w:t> </w:t>
      </w:r>
      <w:r>
        <w:rPr>
          <w:i/>
          <w:color w:val="231F20"/>
          <w:sz w:val="18"/>
        </w:rPr>
        <w:t>algısını</w:t>
      </w:r>
      <w:r>
        <w:rPr>
          <w:i/>
          <w:color w:val="231F20"/>
          <w:spacing w:val="-10"/>
          <w:sz w:val="18"/>
        </w:rPr>
        <w:t> </w:t>
      </w:r>
      <w:r>
        <w:rPr>
          <w:i/>
          <w:color w:val="231F20"/>
          <w:sz w:val="18"/>
        </w:rPr>
        <w:t>belirlemeye</w:t>
      </w:r>
      <w:r>
        <w:rPr>
          <w:i/>
          <w:color w:val="231F20"/>
          <w:spacing w:val="-10"/>
          <w:sz w:val="18"/>
        </w:rPr>
        <w:t> </w:t>
      </w:r>
      <w:r>
        <w:rPr>
          <w:i/>
          <w:color w:val="231F20"/>
          <w:sz w:val="18"/>
        </w:rPr>
        <w:t>yönelik</w:t>
      </w:r>
      <w:r>
        <w:rPr>
          <w:i/>
          <w:color w:val="231F20"/>
          <w:spacing w:val="-11"/>
          <w:sz w:val="18"/>
        </w:rPr>
        <w:t> </w:t>
      </w:r>
      <w:r>
        <w:rPr>
          <w:i/>
          <w:color w:val="231F20"/>
          <w:sz w:val="18"/>
        </w:rPr>
        <w:t>geçerli</w:t>
      </w:r>
      <w:r>
        <w:rPr>
          <w:i/>
          <w:color w:val="231F20"/>
          <w:spacing w:val="-10"/>
          <w:sz w:val="18"/>
        </w:rPr>
        <w:t> </w:t>
      </w:r>
      <w:r>
        <w:rPr>
          <w:i/>
          <w:color w:val="231F20"/>
          <w:sz w:val="18"/>
        </w:rPr>
        <w:t>ve</w:t>
      </w:r>
      <w:r>
        <w:rPr>
          <w:i/>
          <w:color w:val="231F20"/>
          <w:spacing w:val="-10"/>
          <w:sz w:val="18"/>
        </w:rPr>
        <w:t> </w:t>
      </w:r>
      <w:r>
        <w:rPr>
          <w:i/>
          <w:color w:val="231F20"/>
          <w:sz w:val="18"/>
        </w:rPr>
        <w:t>güvenilir</w:t>
      </w:r>
      <w:r>
        <w:rPr>
          <w:i/>
          <w:color w:val="231F20"/>
          <w:spacing w:val="-10"/>
          <w:sz w:val="18"/>
        </w:rPr>
        <w:t> </w:t>
      </w:r>
      <w:r>
        <w:rPr>
          <w:i/>
          <w:color w:val="231F20"/>
          <w:sz w:val="18"/>
        </w:rPr>
        <w:t>bir</w:t>
      </w:r>
      <w:r>
        <w:rPr>
          <w:i/>
          <w:color w:val="231F20"/>
          <w:spacing w:val="-11"/>
          <w:sz w:val="18"/>
        </w:rPr>
        <w:t> </w:t>
      </w:r>
      <w:r>
        <w:rPr>
          <w:i/>
          <w:color w:val="231F20"/>
          <w:sz w:val="18"/>
        </w:rPr>
        <w:t>ölçek</w:t>
      </w:r>
      <w:r>
        <w:rPr>
          <w:i/>
          <w:color w:val="231F20"/>
          <w:spacing w:val="-10"/>
          <w:sz w:val="18"/>
        </w:rPr>
        <w:t> </w:t>
      </w:r>
      <w:r>
        <w:rPr>
          <w:i/>
          <w:color w:val="231F20"/>
          <w:sz w:val="18"/>
        </w:rPr>
        <w:t>geliştirilmiştir. Değişkenlik algısının çevik liderlik becerisi algısı üzerinde pozitif etkisi bulunmuştur. Bu doğrultuda, çalışanların değişkenlik algısı arttıkça çevik liderlik becerisi algısının arttığı ifade edilebilmektedir. Değişimin karşısında örgütlerin çevik kabiliyetlerinin geliştirilmesine dönük olarak, başta liderlik</w:t>
      </w:r>
      <w:r>
        <w:rPr>
          <w:i/>
          <w:color w:val="231F20"/>
          <w:spacing w:val="-25"/>
          <w:sz w:val="18"/>
        </w:rPr>
        <w:t> </w:t>
      </w:r>
      <w:r>
        <w:rPr>
          <w:i/>
          <w:color w:val="231F20"/>
          <w:sz w:val="18"/>
        </w:rPr>
        <w:t>olmak üzere örgütsel yeteneklerin geliştirilmesinde karar verme prosedürlerinin daha esnek hale getirilmesi ve kurumsal çözüm üretme kabiliyetinin hız tabanlı olarak geliştirilmesi</w:t>
      </w:r>
      <w:r>
        <w:rPr>
          <w:i/>
          <w:color w:val="231F20"/>
          <w:spacing w:val="1"/>
          <w:sz w:val="18"/>
        </w:rPr>
        <w:t> </w:t>
      </w:r>
      <w:r>
        <w:rPr>
          <w:i/>
          <w:color w:val="231F20"/>
          <w:spacing w:val="-3"/>
          <w:sz w:val="18"/>
        </w:rPr>
        <w:t>gerekmektedir.</w:t>
      </w:r>
    </w:p>
    <w:p>
      <w:pPr>
        <w:spacing w:before="65"/>
        <w:ind w:left="252" w:right="0" w:firstLine="0"/>
        <w:jc w:val="both"/>
        <w:rPr>
          <w:i/>
          <w:sz w:val="18"/>
        </w:rPr>
      </w:pPr>
      <w:r>
        <w:rPr>
          <w:b/>
          <w:i/>
          <w:color w:val="231F20"/>
          <w:sz w:val="18"/>
        </w:rPr>
        <w:t>Anahtar Kelimeler: </w:t>
      </w:r>
      <w:r>
        <w:rPr>
          <w:i/>
          <w:color w:val="231F20"/>
          <w:sz w:val="18"/>
        </w:rPr>
        <w:t>Değişkenlik, Çevik Liderlik Becerisi, Algı, Özel Sektör, VUCA.</w:t>
      </w:r>
    </w:p>
    <w:p>
      <w:pPr>
        <w:pStyle w:val="BodyText"/>
        <w:rPr>
          <w:i/>
        </w:rPr>
      </w:pPr>
    </w:p>
    <w:p>
      <w:pPr>
        <w:pStyle w:val="BodyText"/>
        <w:spacing w:before="3"/>
        <w:rPr>
          <w:i/>
          <w:sz w:val="17"/>
        </w:rPr>
      </w:pPr>
    </w:p>
    <w:p>
      <w:pPr>
        <w:pStyle w:val="Title"/>
        <w:spacing w:line="285" w:lineRule="auto"/>
        <w:ind w:firstLine="332"/>
      </w:pPr>
      <w:r>
        <w:rPr>
          <w:color w:val="034694"/>
        </w:rPr>
        <w:t>AGILE LEADERSHIP SKILL PERCEPTION OF EMPLOYEES IN VUCA ENVIRONMENT: A SCALE DEVELOPMENT STUDY AND FIELD RESEARCH</w:t>
      </w:r>
    </w:p>
    <w:p>
      <w:pPr>
        <w:pStyle w:val="BodyText"/>
        <w:spacing w:before="9"/>
        <w:rPr>
          <w:b/>
          <w:sz w:val="19"/>
        </w:rPr>
      </w:pPr>
    </w:p>
    <w:p>
      <w:pPr>
        <w:spacing w:before="67"/>
        <w:ind w:left="2200" w:right="2200" w:firstLine="0"/>
        <w:jc w:val="center"/>
        <w:rPr>
          <w:b/>
          <w:sz w:val="18"/>
        </w:rPr>
      </w:pPr>
      <w:r>
        <w:rPr>
          <w:b/>
          <w:color w:val="034694"/>
          <w:sz w:val="18"/>
        </w:rPr>
        <w:t>ABSTRACT</w:t>
      </w:r>
    </w:p>
    <w:p>
      <w:pPr>
        <w:spacing w:line="254" w:lineRule="auto" w:before="70"/>
        <w:ind w:left="252" w:right="247" w:firstLine="567"/>
        <w:jc w:val="both"/>
        <w:rPr>
          <w:i/>
          <w:sz w:val="18"/>
        </w:rPr>
      </w:pPr>
      <w:r>
        <w:rPr>
          <w:i/>
          <w:color w:val="231F20"/>
          <w:sz w:val="18"/>
        </w:rPr>
        <w:t>The</w:t>
      </w:r>
      <w:r>
        <w:rPr>
          <w:i/>
          <w:color w:val="231F20"/>
          <w:spacing w:val="-9"/>
          <w:sz w:val="18"/>
        </w:rPr>
        <w:t> </w:t>
      </w:r>
      <w:r>
        <w:rPr>
          <w:i/>
          <w:color w:val="231F20"/>
          <w:sz w:val="18"/>
        </w:rPr>
        <w:t>rapid</w:t>
      </w:r>
      <w:r>
        <w:rPr>
          <w:i/>
          <w:color w:val="231F20"/>
          <w:spacing w:val="-9"/>
          <w:sz w:val="18"/>
        </w:rPr>
        <w:t> </w:t>
      </w:r>
      <w:r>
        <w:rPr>
          <w:i/>
          <w:color w:val="231F20"/>
          <w:sz w:val="18"/>
        </w:rPr>
        <w:t>advances</w:t>
      </w:r>
      <w:r>
        <w:rPr>
          <w:i/>
          <w:color w:val="231F20"/>
          <w:spacing w:val="-8"/>
          <w:sz w:val="18"/>
        </w:rPr>
        <w:t> </w:t>
      </w:r>
      <w:r>
        <w:rPr>
          <w:i/>
          <w:color w:val="231F20"/>
          <w:sz w:val="18"/>
        </w:rPr>
        <w:t>in</w:t>
      </w:r>
      <w:r>
        <w:rPr>
          <w:i/>
          <w:color w:val="231F20"/>
          <w:spacing w:val="-9"/>
          <w:sz w:val="18"/>
        </w:rPr>
        <w:t> </w:t>
      </w:r>
      <w:r>
        <w:rPr>
          <w:i/>
          <w:color w:val="231F20"/>
          <w:sz w:val="18"/>
        </w:rPr>
        <w:t>technology</w:t>
      </w:r>
      <w:r>
        <w:rPr>
          <w:i/>
          <w:color w:val="231F20"/>
          <w:spacing w:val="-9"/>
          <w:sz w:val="18"/>
        </w:rPr>
        <w:t> </w:t>
      </w:r>
      <w:r>
        <w:rPr>
          <w:i/>
          <w:color w:val="231F20"/>
          <w:sz w:val="18"/>
        </w:rPr>
        <w:t>and</w:t>
      </w:r>
      <w:r>
        <w:rPr>
          <w:i/>
          <w:color w:val="231F20"/>
          <w:spacing w:val="-8"/>
          <w:sz w:val="18"/>
        </w:rPr>
        <w:t> </w:t>
      </w:r>
      <w:r>
        <w:rPr>
          <w:i/>
          <w:color w:val="231F20"/>
          <w:sz w:val="18"/>
        </w:rPr>
        <w:t>information,</w:t>
      </w:r>
      <w:r>
        <w:rPr>
          <w:i/>
          <w:color w:val="231F20"/>
          <w:spacing w:val="-9"/>
          <w:sz w:val="18"/>
        </w:rPr>
        <w:t> </w:t>
      </w:r>
      <w:r>
        <w:rPr>
          <w:i/>
          <w:color w:val="231F20"/>
          <w:sz w:val="18"/>
        </w:rPr>
        <w:t>fluxional</w:t>
      </w:r>
      <w:r>
        <w:rPr>
          <w:i/>
          <w:color w:val="231F20"/>
          <w:spacing w:val="-8"/>
          <w:sz w:val="18"/>
        </w:rPr>
        <w:t> </w:t>
      </w:r>
      <w:r>
        <w:rPr>
          <w:i/>
          <w:color w:val="231F20"/>
          <w:sz w:val="18"/>
        </w:rPr>
        <w:t>customer</w:t>
      </w:r>
      <w:r>
        <w:rPr>
          <w:i/>
          <w:color w:val="231F20"/>
          <w:spacing w:val="-9"/>
          <w:sz w:val="18"/>
        </w:rPr>
        <w:t> </w:t>
      </w:r>
      <w:r>
        <w:rPr>
          <w:i/>
          <w:color w:val="231F20"/>
          <w:sz w:val="18"/>
        </w:rPr>
        <w:t>demands,</w:t>
      </w:r>
      <w:r>
        <w:rPr>
          <w:i/>
          <w:color w:val="231F20"/>
          <w:spacing w:val="-9"/>
          <w:sz w:val="18"/>
        </w:rPr>
        <w:t> </w:t>
      </w:r>
      <w:r>
        <w:rPr>
          <w:i/>
          <w:color w:val="231F20"/>
          <w:sz w:val="18"/>
        </w:rPr>
        <w:t>work</w:t>
      </w:r>
      <w:r>
        <w:rPr>
          <w:i/>
          <w:color w:val="231F20"/>
          <w:spacing w:val="-8"/>
          <w:sz w:val="18"/>
        </w:rPr>
        <w:t> </w:t>
      </w:r>
      <w:r>
        <w:rPr>
          <w:i/>
          <w:color w:val="231F20"/>
          <w:sz w:val="18"/>
        </w:rPr>
        <w:t>conditions, </w:t>
      </w:r>
      <w:r>
        <w:rPr>
          <w:i/>
          <w:color w:val="231F20"/>
          <w:sz w:val="18"/>
        </w:rPr>
        <w:t>employee expectations, economic fluctuations, uncertainties brought by the pandemic environment recently make difficult to plan and predict for future periods. In this VUCA environments, it is necessary to evolve a new approaches. One of this approach is agile leadership, its skill and perception. In this </w:t>
      </w:r>
      <w:r>
        <w:rPr>
          <w:i/>
          <w:color w:val="231F20"/>
          <w:spacing w:val="-3"/>
          <w:sz w:val="18"/>
        </w:rPr>
        <w:t>study,</w:t>
      </w:r>
      <w:r>
        <w:rPr>
          <w:i/>
          <w:color w:val="231F20"/>
          <w:spacing w:val="-11"/>
          <w:sz w:val="18"/>
        </w:rPr>
        <w:t> </w:t>
      </w:r>
      <w:r>
        <w:rPr>
          <w:i/>
          <w:color w:val="231F20"/>
          <w:sz w:val="18"/>
        </w:rPr>
        <w:t>it</w:t>
      </w:r>
      <w:r>
        <w:rPr>
          <w:i/>
          <w:color w:val="231F20"/>
          <w:spacing w:val="-10"/>
          <w:sz w:val="18"/>
        </w:rPr>
        <w:t> </w:t>
      </w:r>
      <w:r>
        <w:rPr>
          <w:i/>
          <w:color w:val="231F20"/>
          <w:sz w:val="18"/>
        </w:rPr>
        <w:t>was</w:t>
      </w:r>
      <w:r>
        <w:rPr>
          <w:i/>
          <w:color w:val="231F20"/>
          <w:spacing w:val="-10"/>
          <w:sz w:val="18"/>
        </w:rPr>
        <w:t> </w:t>
      </w:r>
      <w:r>
        <w:rPr>
          <w:i/>
          <w:color w:val="231F20"/>
          <w:sz w:val="18"/>
        </w:rPr>
        <w:t>aimed</w:t>
      </w:r>
      <w:r>
        <w:rPr>
          <w:i/>
          <w:color w:val="231F20"/>
          <w:spacing w:val="-10"/>
          <w:sz w:val="18"/>
        </w:rPr>
        <w:t> </w:t>
      </w:r>
      <w:r>
        <w:rPr>
          <w:i/>
          <w:color w:val="231F20"/>
          <w:sz w:val="18"/>
        </w:rPr>
        <w:t>to</w:t>
      </w:r>
      <w:r>
        <w:rPr>
          <w:i/>
          <w:color w:val="231F20"/>
          <w:spacing w:val="-10"/>
          <w:sz w:val="18"/>
        </w:rPr>
        <w:t> </w:t>
      </w:r>
      <w:r>
        <w:rPr>
          <w:i/>
          <w:color w:val="231F20"/>
          <w:sz w:val="18"/>
        </w:rPr>
        <w:t>develop</w:t>
      </w:r>
      <w:r>
        <w:rPr>
          <w:i/>
          <w:color w:val="231F20"/>
          <w:spacing w:val="-10"/>
          <w:sz w:val="18"/>
        </w:rPr>
        <w:t> </w:t>
      </w:r>
      <w:r>
        <w:rPr>
          <w:i/>
          <w:color w:val="231F20"/>
          <w:sz w:val="18"/>
        </w:rPr>
        <w:t>a</w:t>
      </w:r>
      <w:r>
        <w:rPr>
          <w:i/>
          <w:color w:val="231F20"/>
          <w:spacing w:val="-10"/>
          <w:sz w:val="18"/>
        </w:rPr>
        <w:t> </w:t>
      </w:r>
      <w:r>
        <w:rPr>
          <w:i/>
          <w:color w:val="231F20"/>
          <w:sz w:val="18"/>
        </w:rPr>
        <w:t>measurement</w:t>
      </w:r>
      <w:r>
        <w:rPr>
          <w:i/>
          <w:color w:val="231F20"/>
          <w:spacing w:val="-10"/>
          <w:sz w:val="18"/>
        </w:rPr>
        <w:t> </w:t>
      </w:r>
      <w:r>
        <w:rPr>
          <w:i/>
          <w:color w:val="231F20"/>
          <w:sz w:val="18"/>
        </w:rPr>
        <w:t>tool</w:t>
      </w:r>
      <w:r>
        <w:rPr>
          <w:i/>
          <w:color w:val="231F20"/>
          <w:spacing w:val="-11"/>
          <w:sz w:val="18"/>
        </w:rPr>
        <w:t> </w:t>
      </w:r>
      <w:r>
        <w:rPr>
          <w:i/>
          <w:color w:val="231F20"/>
          <w:sz w:val="18"/>
        </w:rPr>
        <w:t>for</w:t>
      </w:r>
      <w:r>
        <w:rPr>
          <w:i/>
          <w:color w:val="231F20"/>
          <w:spacing w:val="-10"/>
          <w:sz w:val="18"/>
        </w:rPr>
        <w:t> </w:t>
      </w:r>
      <w:r>
        <w:rPr>
          <w:i/>
          <w:color w:val="231F20"/>
          <w:sz w:val="18"/>
        </w:rPr>
        <w:t>determining</w:t>
      </w:r>
      <w:r>
        <w:rPr>
          <w:i/>
          <w:color w:val="231F20"/>
          <w:spacing w:val="-10"/>
          <w:sz w:val="18"/>
        </w:rPr>
        <w:t> </w:t>
      </w:r>
      <w:r>
        <w:rPr>
          <w:i/>
          <w:color w:val="231F20"/>
          <w:sz w:val="18"/>
        </w:rPr>
        <w:t>agile</w:t>
      </w:r>
      <w:r>
        <w:rPr>
          <w:i/>
          <w:color w:val="231F20"/>
          <w:spacing w:val="-10"/>
          <w:sz w:val="18"/>
        </w:rPr>
        <w:t> </w:t>
      </w:r>
      <w:r>
        <w:rPr>
          <w:i/>
          <w:color w:val="231F20"/>
          <w:sz w:val="18"/>
        </w:rPr>
        <w:t>leadership</w:t>
      </w:r>
      <w:r>
        <w:rPr>
          <w:i/>
          <w:color w:val="231F20"/>
          <w:spacing w:val="-10"/>
          <w:sz w:val="18"/>
        </w:rPr>
        <w:t> </w:t>
      </w:r>
      <w:r>
        <w:rPr>
          <w:i/>
          <w:color w:val="231F20"/>
          <w:sz w:val="18"/>
        </w:rPr>
        <w:t>skill</w:t>
      </w:r>
      <w:r>
        <w:rPr>
          <w:i/>
          <w:color w:val="231F20"/>
          <w:spacing w:val="-10"/>
          <w:sz w:val="18"/>
        </w:rPr>
        <w:t> </w:t>
      </w:r>
      <w:r>
        <w:rPr>
          <w:i/>
          <w:color w:val="231F20"/>
          <w:sz w:val="18"/>
        </w:rPr>
        <w:t>perception.</w:t>
      </w:r>
      <w:r>
        <w:rPr>
          <w:i/>
          <w:color w:val="231F20"/>
          <w:spacing w:val="-10"/>
          <w:sz w:val="18"/>
        </w:rPr>
        <w:t> </w:t>
      </w:r>
      <w:r>
        <w:rPr>
          <w:i/>
          <w:color w:val="231F20"/>
          <w:sz w:val="18"/>
        </w:rPr>
        <w:t>It</w:t>
      </w:r>
      <w:r>
        <w:rPr>
          <w:i/>
          <w:color w:val="231F20"/>
          <w:spacing w:val="-10"/>
          <w:sz w:val="18"/>
        </w:rPr>
        <w:t> </w:t>
      </w:r>
      <w:r>
        <w:rPr>
          <w:i/>
          <w:color w:val="231F20"/>
          <w:sz w:val="18"/>
        </w:rPr>
        <w:t>was researched the effect of VUCA perception on agile leadership skill perception. It has evaluated the scale will</w:t>
      </w:r>
      <w:r>
        <w:rPr>
          <w:i/>
          <w:color w:val="231F20"/>
          <w:spacing w:val="-15"/>
          <w:sz w:val="18"/>
        </w:rPr>
        <w:t> </w:t>
      </w:r>
      <w:r>
        <w:rPr>
          <w:i/>
          <w:color w:val="231F20"/>
          <w:sz w:val="18"/>
        </w:rPr>
        <w:t>contribute</w:t>
      </w:r>
      <w:r>
        <w:rPr>
          <w:i/>
          <w:color w:val="231F20"/>
          <w:spacing w:val="-14"/>
          <w:sz w:val="18"/>
        </w:rPr>
        <w:t> </w:t>
      </w:r>
      <w:r>
        <w:rPr>
          <w:i/>
          <w:color w:val="231F20"/>
          <w:sz w:val="18"/>
        </w:rPr>
        <w:t>to</w:t>
      </w:r>
      <w:r>
        <w:rPr>
          <w:i/>
          <w:color w:val="231F20"/>
          <w:spacing w:val="-15"/>
          <w:sz w:val="18"/>
        </w:rPr>
        <w:t> </w:t>
      </w:r>
      <w:r>
        <w:rPr>
          <w:i/>
          <w:color w:val="231F20"/>
          <w:sz w:val="18"/>
        </w:rPr>
        <w:t>both</w:t>
      </w:r>
      <w:r>
        <w:rPr>
          <w:i/>
          <w:color w:val="231F20"/>
          <w:spacing w:val="-14"/>
          <w:sz w:val="18"/>
        </w:rPr>
        <w:t> </w:t>
      </w:r>
      <w:r>
        <w:rPr>
          <w:i/>
          <w:color w:val="231F20"/>
          <w:sz w:val="18"/>
        </w:rPr>
        <w:t>the</w:t>
      </w:r>
      <w:r>
        <w:rPr>
          <w:i/>
          <w:color w:val="231F20"/>
          <w:spacing w:val="-14"/>
          <w:sz w:val="18"/>
        </w:rPr>
        <w:t> </w:t>
      </w:r>
      <w:r>
        <w:rPr>
          <w:i/>
          <w:color w:val="231F20"/>
          <w:sz w:val="18"/>
        </w:rPr>
        <w:t>studies</w:t>
      </w:r>
      <w:r>
        <w:rPr>
          <w:i/>
          <w:color w:val="231F20"/>
          <w:spacing w:val="-15"/>
          <w:sz w:val="18"/>
        </w:rPr>
        <w:t> </w:t>
      </w:r>
      <w:r>
        <w:rPr>
          <w:i/>
          <w:color w:val="231F20"/>
          <w:sz w:val="18"/>
        </w:rPr>
        <w:t>on</w:t>
      </w:r>
      <w:r>
        <w:rPr>
          <w:i/>
          <w:color w:val="231F20"/>
          <w:spacing w:val="-14"/>
          <w:sz w:val="18"/>
        </w:rPr>
        <w:t> </w:t>
      </w:r>
      <w:r>
        <w:rPr>
          <w:i/>
          <w:color w:val="231F20"/>
          <w:sz w:val="18"/>
        </w:rPr>
        <w:t>the</w:t>
      </w:r>
      <w:r>
        <w:rPr>
          <w:i/>
          <w:color w:val="231F20"/>
          <w:spacing w:val="-15"/>
          <w:sz w:val="18"/>
        </w:rPr>
        <w:t> </w:t>
      </w:r>
      <w:r>
        <w:rPr>
          <w:i/>
          <w:color w:val="231F20"/>
          <w:sz w:val="18"/>
        </w:rPr>
        <w:t>perception</w:t>
      </w:r>
      <w:r>
        <w:rPr>
          <w:i/>
          <w:color w:val="231F20"/>
          <w:spacing w:val="-14"/>
          <w:sz w:val="18"/>
        </w:rPr>
        <w:t> </w:t>
      </w:r>
      <w:r>
        <w:rPr>
          <w:i/>
          <w:color w:val="231F20"/>
          <w:sz w:val="18"/>
        </w:rPr>
        <w:t>of</w:t>
      </w:r>
      <w:r>
        <w:rPr>
          <w:i/>
          <w:color w:val="231F20"/>
          <w:spacing w:val="-14"/>
          <w:sz w:val="18"/>
        </w:rPr>
        <w:t> </w:t>
      </w:r>
      <w:r>
        <w:rPr>
          <w:i/>
          <w:color w:val="231F20"/>
          <w:sz w:val="18"/>
        </w:rPr>
        <w:t>agile</w:t>
      </w:r>
      <w:r>
        <w:rPr>
          <w:i/>
          <w:color w:val="231F20"/>
          <w:spacing w:val="-15"/>
          <w:sz w:val="18"/>
        </w:rPr>
        <w:t> </w:t>
      </w:r>
      <w:r>
        <w:rPr>
          <w:i/>
          <w:color w:val="231F20"/>
          <w:sz w:val="18"/>
        </w:rPr>
        <w:t>leadership</w:t>
      </w:r>
      <w:r>
        <w:rPr>
          <w:i/>
          <w:color w:val="231F20"/>
          <w:spacing w:val="-14"/>
          <w:sz w:val="18"/>
        </w:rPr>
        <w:t> </w:t>
      </w:r>
      <w:r>
        <w:rPr>
          <w:i/>
          <w:color w:val="231F20"/>
          <w:sz w:val="18"/>
        </w:rPr>
        <w:t>skills</w:t>
      </w:r>
      <w:r>
        <w:rPr>
          <w:i/>
          <w:color w:val="231F20"/>
          <w:spacing w:val="-15"/>
          <w:sz w:val="18"/>
        </w:rPr>
        <w:t> </w:t>
      </w:r>
      <w:r>
        <w:rPr>
          <w:i/>
          <w:color w:val="231F20"/>
          <w:sz w:val="18"/>
        </w:rPr>
        <w:t>and</w:t>
      </w:r>
      <w:r>
        <w:rPr>
          <w:i/>
          <w:color w:val="231F20"/>
          <w:spacing w:val="-14"/>
          <w:sz w:val="18"/>
        </w:rPr>
        <w:t> </w:t>
      </w:r>
      <w:r>
        <w:rPr>
          <w:i/>
          <w:color w:val="231F20"/>
          <w:sz w:val="18"/>
        </w:rPr>
        <w:t>the</w:t>
      </w:r>
      <w:r>
        <w:rPr>
          <w:i/>
          <w:color w:val="231F20"/>
          <w:spacing w:val="-14"/>
          <w:sz w:val="18"/>
        </w:rPr>
        <w:t> </w:t>
      </w:r>
      <w:r>
        <w:rPr>
          <w:i/>
          <w:color w:val="231F20"/>
          <w:sz w:val="18"/>
        </w:rPr>
        <w:t>field</w:t>
      </w:r>
      <w:r>
        <w:rPr>
          <w:i/>
          <w:color w:val="231F20"/>
          <w:spacing w:val="-15"/>
          <w:sz w:val="18"/>
        </w:rPr>
        <w:t> </w:t>
      </w:r>
      <w:r>
        <w:rPr>
          <w:i/>
          <w:color w:val="231F20"/>
          <w:sz w:val="18"/>
        </w:rPr>
        <w:t>of</w:t>
      </w:r>
      <w:r>
        <w:rPr>
          <w:i/>
          <w:color w:val="231F20"/>
          <w:spacing w:val="-14"/>
          <w:sz w:val="18"/>
        </w:rPr>
        <w:t> </w:t>
      </w:r>
      <w:r>
        <w:rPr>
          <w:i/>
          <w:color w:val="231F20"/>
          <w:sz w:val="18"/>
        </w:rPr>
        <w:t>organizational</w:t>
      </w:r>
    </w:p>
    <w:p>
      <w:pPr>
        <w:pStyle w:val="BodyText"/>
        <w:spacing w:before="7"/>
        <w:rPr>
          <w:i/>
          <w:sz w:val="24"/>
        </w:rPr>
      </w:pPr>
      <w:r>
        <w:rPr/>
        <w:pict>
          <v:shape style="position:absolute;margin-left:49.6063pt;margin-top:16.394278pt;width:113.4pt;height:.1pt;mso-position-horizontal-relative:page;mso-position-vertical-relative:paragraph;z-index:-15728640;mso-wrap-distance-left:0;mso-wrap-distance-right:0" coordorigin="992,328" coordsize="2268,0" path="m992,328l3260,328e" filled="false" stroked="true" strokeweight=".5pt" strokecolor="#231f20">
            <v:path arrowok="t"/>
            <v:stroke dashstyle="solid"/>
            <w10:wrap type="topAndBottom"/>
          </v:shape>
        </w:pict>
      </w:r>
    </w:p>
    <w:p>
      <w:pPr>
        <w:spacing w:line="235" w:lineRule="auto" w:before="16"/>
        <w:ind w:left="422" w:right="323" w:hanging="170"/>
        <w:jc w:val="left"/>
        <w:rPr>
          <w:i/>
          <w:sz w:val="16"/>
        </w:rPr>
      </w:pPr>
      <w:r>
        <w:rPr>
          <w:i/>
          <w:color w:val="231F20"/>
          <w:sz w:val="16"/>
          <w:vertAlign w:val="superscript"/>
        </w:rPr>
        <w:t>*</w:t>
      </w:r>
      <w:r>
        <w:rPr>
          <w:i/>
          <w:color w:val="231F20"/>
          <w:sz w:val="16"/>
          <w:vertAlign w:val="baseline"/>
        </w:rPr>
        <w:t> Bu çalışma Çağ Üniversitesi Sosyal Bilimler Enstitüsü, İşletme Yönetimi Anabilim Dalında Yonca Bir’in 2022 </w:t>
      </w:r>
      <w:r>
        <w:rPr>
          <w:i/>
          <w:color w:val="231F20"/>
          <w:sz w:val="16"/>
          <w:vertAlign w:val="baseline"/>
        </w:rPr>
        <w:t>yılında gerçekleştirdiği Danışmanlığını Doç. Dr. Murat Koç’un üstlendiği doktora tezinden türetilmiştir.</w:t>
      </w:r>
    </w:p>
    <w:p>
      <w:pPr>
        <w:pStyle w:val="BodyText"/>
        <w:spacing w:before="10"/>
        <w:rPr>
          <w:i/>
          <w:sz w:val="8"/>
        </w:rPr>
      </w:pPr>
    </w:p>
    <w:p>
      <w:pPr>
        <w:spacing w:before="70"/>
        <w:ind w:left="252" w:right="0" w:firstLine="0"/>
        <w:jc w:val="left"/>
        <w:rPr>
          <w:sz w:val="16"/>
        </w:rPr>
      </w:pPr>
      <w:hyperlink r:id="rId9">
        <w:r>
          <w:rPr>
            <w:color w:val="231F20"/>
            <w:sz w:val="16"/>
          </w:rPr>
          <w:t>www.ijmeb.org</w:t>
        </w:r>
      </w:hyperlink>
      <w:r>
        <w:rPr>
          <w:color w:val="231F20"/>
          <w:sz w:val="16"/>
        </w:rPr>
        <w:t> ISSN:2147-9208 E-ISSN:2147-9194</w:t>
      </w:r>
    </w:p>
    <w:p>
      <w:pPr>
        <w:spacing w:before="36"/>
        <w:ind w:left="252" w:right="0" w:firstLine="0"/>
        <w:jc w:val="left"/>
        <w:rPr>
          <w:sz w:val="16"/>
        </w:rPr>
      </w:pPr>
      <w:hyperlink r:id="rId10">
        <w:r>
          <w:rPr>
            <w:color w:val="231F20"/>
            <w:sz w:val="16"/>
          </w:rPr>
          <w:t>http://dx.doi.org/10.17130/ijmeb.1166705</w:t>
        </w:r>
      </w:hyperlink>
    </w:p>
    <w:p>
      <w:pPr>
        <w:spacing w:before="36"/>
        <w:ind w:left="252" w:right="0" w:firstLine="0"/>
        <w:jc w:val="left"/>
        <w:rPr>
          <w:sz w:val="16"/>
        </w:rPr>
      </w:pPr>
      <w:r>
        <w:rPr>
          <w:color w:val="231F20"/>
          <w:sz w:val="16"/>
        </w:rPr>
        <w:t>Başvuru Tarihi: 25.08.2022, Yayına Kabul Tarihi: 17.10.2022</w:t>
      </w:r>
    </w:p>
    <w:p>
      <w:pPr>
        <w:spacing w:before="36"/>
        <w:ind w:left="252" w:right="0" w:firstLine="0"/>
        <w:jc w:val="left"/>
        <w:rPr>
          <w:sz w:val="16"/>
        </w:rPr>
      </w:pPr>
      <w:r>
        <w:rPr>
          <w:color w:val="231F20"/>
          <w:sz w:val="16"/>
        </w:rPr>
        <w:t>Çağ Üniversitesi Etik Kurulu Kararı, 27.05.2021 Tarihli ve E-81570533-044-2100003776 Sayılı Karar</w:t>
      </w:r>
    </w:p>
    <w:p>
      <w:pPr>
        <w:spacing w:after="0"/>
        <w:jc w:val="left"/>
        <w:rPr>
          <w:sz w:val="16"/>
        </w:rPr>
        <w:sectPr>
          <w:footerReference w:type="even" r:id="rId5"/>
          <w:footerReference w:type="default" r:id="rId6"/>
          <w:type w:val="continuous"/>
          <w:pgSz w:w="9530" w:h="13610"/>
          <w:pgMar w:footer="344" w:top="620" w:bottom="540" w:left="740" w:right="740"/>
          <w:pgNumType w:start="1270"/>
        </w:sectPr>
      </w:pPr>
    </w:p>
    <w:p>
      <w:pPr>
        <w:pStyle w:val="BodyText"/>
      </w:pPr>
    </w:p>
    <w:p>
      <w:pPr>
        <w:pStyle w:val="BodyText"/>
        <w:spacing w:before="5"/>
      </w:pPr>
    </w:p>
    <w:p>
      <w:pPr>
        <w:spacing w:line="254" w:lineRule="auto" w:before="0"/>
        <w:ind w:left="252" w:right="248" w:firstLine="0"/>
        <w:jc w:val="both"/>
        <w:rPr>
          <w:i/>
          <w:sz w:val="18"/>
        </w:rPr>
      </w:pPr>
      <w:r>
        <w:rPr>
          <w:i/>
          <w:color w:val="231F20"/>
          <w:spacing w:val="-3"/>
          <w:sz w:val="18"/>
        </w:rPr>
        <w:t>behavior. </w:t>
      </w:r>
      <w:r>
        <w:rPr>
          <w:i/>
          <w:color w:val="231F20"/>
          <w:sz w:val="18"/>
        </w:rPr>
        <w:t>The research was conducted businesses’ employees in private sectors at TR62 (Adana-Mersin) </w:t>
      </w:r>
      <w:r>
        <w:rPr>
          <w:i/>
          <w:color w:val="231F20"/>
          <w:sz w:val="18"/>
        </w:rPr>
        <w:t>region. As a result a valid and reliable measurement tool has developed to determine agile leadership skill</w:t>
      </w:r>
      <w:r>
        <w:rPr>
          <w:i/>
          <w:color w:val="231F20"/>
          <w:spacing w:val="-12"/>
          <w:sz w:val="18"/>
        </w:rPr>
        <w:t> </w:t>
      </w:r>
      <w:r>
        <w:rPr>
          <w:i/>
          <w:color w:val="231F20"/>
          <w:sz w:val="18"/>
        </w:rPr>
        <w:t>perception.</w:t>
      </w:r>
      <w:r>
        <w:rPr>
          <w:i/>
          <w:color w:val="231F20"/>
          <w:spacing w:val="-11"/>
          <w:sz w:val="18"/>
        </w:rPr>
        <w:t> </w:t>
      </w:r>
      <w:r>
        <w:rPr>
          <w:i/>
          <w:color w:val="231F20"/>
          <w:sz w:val="18"/>
        </w:rPr>
        <w:t>It</w:t>
      </w:r>
      <w:r>
        <w:rPr>
          <w:i/>
          <w:color w:val="231F20"/>
          <w:spacing w:val="-11"/>
          <w:sz w:val="18"/>
        </w:rPr>
        <w:t> </w:t>
      </w:r>
      <w:r>
        <w:rPr>
          <w:i/>
          <w:color w:val="231F20"/>
          <w:sz w:val="18"/>
        </w:rPr>
        <w:t>has</w:t>
      </w:r>
      <w:r>
        <w:rPr>
          <w:i/>
          <w:color w:val="231F20"/>
          <w:spacing w:val="-11"/>
          <w:sz w:val="18"/>
        </w:rPr>
        <w:t> </w:t>
      </w:r>
      <w:r>
        <w:rPr>
          <w:i/>
          <w:color w:val="231F20"/>
          <w:sz w:val="18"/>
        </w:rPr>
        <w:t>found</w:t>
      </w:r>
      <w:r>
        <w:rPr>
          <w:i/>
          <w:color w:val="231F20"/>
          <w:spacing w:val="-11"/>
          <w:sz w:val="18"/>
        </w:rPr>
        <w:t> </w:t>
      </w:r>
      <w:r>
        <w:rPr>
          <w:i/>
          <w:color w:val="231F20"/>
          <w:sz w:val="18"/>
        </w:rPr>
        <w:t>the</w:t>
      </w:r>
      <w:r>
        <w:rPr>
          <w:i/>
          <w:color w:val="231F20"/>
          <w:spacing w:val="-11"/>
          <w:sz w:val="18"/>
        </w:rPr>
        <w:t> </w:t>
      </w:r>
      <w:r>
        <w:rPr>
          <w:i/>
          <w:color w:val="231F20"/>
          <w:sz w:val="18"/>
        </w:rPr>
        <w:t>positive</w:t>
      </w:r>
      <w:r>
        <w:rPr>
          <w:i/>
          <w:color w:val="231F20"/>
          <w:spacing w:val="-11"/>
          <w:sz w:val="18"/>
        </w:rPr>
        <w:t> </w:t>
      </w:r>
      <w:r>
        <w:rPr>
          <w:i/>
          <w:color w:val="231F20"/>
          <w:sz w:val="18"/>
        </w:rPr>
        <w:t>effect</w:t>
      </w:r>
      <w:r>
        <w:rPr>
          <w:i/>
          <w:color w:val="231F20"/>
          <w:spacing w:val="-12"/>
          <w:sz w:val="18"/>
        </w:rPr>
        <w:t> </w:t>
      </w:r>
      <w:r>
        <w:rPr>
          <w:i/>
          <w:color w:val="231F20"/>
          <w:sz w:val="18"/>
        </w:rPr>
        <w:t>of</w:t>
      </w:r>
      <w:r>
        <w:rPr>
          <w:i/>
          <w:color w:val="231F20"/>
          <w:spacing w:val="-11"/>
          <w:sz w:val="18"/>
        </w:rPr>
        <w:t> </w:t>
      </w:r>
      <w:r>
        <w:rPr>
          <w:i/>
          <w:color w:val="231F20"/>
          <w:sz w:val="18"/>
        </w:rPr>
        <w:t>volatility</w:t>
      </w:r>
      <w:r>
        <w:rPr>
          <w:i/>
          <w:color w:val="231F20"/>
          <w:spacing w:val="-12"/>
          <w:sz w:val="18"/>
        </w:rPr>
        <w:t> </w:t>
      </w:r>
      <w:r>
        <w:rPr>
          <w:i/>
          <w:color w:val="231F20"/>
          <w:sz w:val="18"/>
        </w:rPr>
        <w:t>perception</w:t>
      </w:r>
      <w:r>
        <w:rPr>
          <w:i/>
          <w:color w:val="231F20"/>
          <w:spacing w:val="-11"/>
          <w:sz w:val="18"/>
        </w:rPr>
        <w:t> </w:t>
      </w:r>
      <w:r>
        <w:rPr>
          <w:i/>
          <w:color w:val="231F20"/>
          <w:sz w:val="18"/>
        </w:rPr>
        <w:t>on</w:t>
      </w:r>
      <w:r>
        <w:rPr>
          <w:i/>
          <w:color w:val="231F20"/>
          <w:spacing w:val="-11"/>
          <w:sz w:val="18"/>
        </w:rPr>
        <w:t> </w:t>
      </w:r>
      <w:r>
        <w:rPr>
          <w:i/>
          <w:color w:val="231F20"/>
          <w:sz w:val="18"/>
        </w:rPr>
        <w:t>agile</w:t>
      </w:r>
      <w:r>
        <w:rPr>
          <w:i/>
          <w:color w:val="231F20"/>
          <w:spacing w:val="-10"/>
          <w:sz w:val="18"/>
        </w:rPr>
        <w:t> </w:t>
      </w:r>
      <w:r>
        <w:rPr>
          <w:i/>
          <w:color w:val="231F20"/>
          <w:sz w:val="18"/>
        </w:rPr>
        <w:t>leadership</w:t>
      </w:r>
      <w:r>
        <w:rPr>
          <w:i/>
          <w:color w:val="231F20"/>
          <w:spacing w:val="-11"/>
          <w:sz w:val="18"/>
        </w:rPr>
        <w:t> </w:t>
      </w:r>
      <w:r>
        <w:rPr>
          <w:i/>
          <w:color w:val="231F20"/>
          <w:sz w:val="18"/>
        </w:rPr>
        <w:t>skill</w:t>
      </w:r>
      <w:r>
        <w:rPr>
          <w:i/>
          <w:color w:val="231F20"/>
          <w:spacing w:val="-12"/>
          <w:sz w:val="18"/>
        </w:rPr>
        <w:t> </w:t>
      </w:r>
      <w:r>
        <w:rPr>
          <w:i/>
          <w:color w:val="231F20"/>
          <w:sz w:val="18"/>
        </w:rPr>
        <w:t>perception. When</w:t>
      </w:r>
      <w:r>
        <w:rPr>
          <w:i/>
          <w:color w:val="231F20"/>
          <w:spacing w:val="-8"/>
          <w:sz w:val="18"/>
        </w:rPr>
        <w:t> </w:t>
      </w:r>
      <w:r>
        <w:rPr>
          <w:i/>
          <w:color w:val="231F20"/>
          <w:sz w:val="18"/>
        </w:rPr>
        <w:t>the</w:t>
      </w:r>
      <w:r>
        <w:rPr>
          <w:i/>
          <w:color w:val="231F20"/>
          <w:spacing w:val="-7"/>
          <w:sz w:val="18"/>
        </w:rPr>
        <w:t> </w:t>
      </w:r>
      <w:r>
        <w:rPr>
          <w:i/>
          <w:color w:val="231F20"/>
          <w:sz w:val="18"/>
        </w:rPr>
        <w:t>volatility</w:t>
      </w:r>
      <w:r>
        <w:rPr>
          <w:i/>
          <w:color w:val="231F20"/>
          <w:spacing w:val="-7"/>
          <w:sz w:val="18"/>
        </w:rPr>
        <w:t> </w:t>
      </w:r>
      <w:r>
        <w:rPr>
          <w:i/>
          <w:color w:val="231F20"/>
          <w:sz w:val="18"/>
        </w:rPr>
        <w:t>perception</w:t>
      </w:r>
      <w:r>
        <w:rPr>
          <w:i/>
          <w:color w:val="231F20"/>
          <w:spacing w:val="-8"/>
          <w:sz w:val="18"/>
        </w:rPr>
        <w:t> </w:t>
      </w:r>
      <w:r>
        <w:rPr>
          <w:i/>
          <w:color w:val="231F20"/>
          <w:sz w:val="18"/>
        </w:rPr>
        <w:t>increases,</w:t>
      </w:r>
      <w:r>
        <w:rPr>
          <w:i/>
          <w:color w:val="231F20"/>
          <w:spacing w:val="-7"/>
          <w:sz w:val="18"/>
        </w:rPr>
        <w:t> </w:t>
      </w:r>
      <w:r>
        <w:rPr>
          <w:i/>
          <w:color w:val="231F20"/>
          <w:sz w:val="18"/>
        </w:rPr>
        <w:t>the</w:t>
      </w:r>
      <w:r>
        <w:rPr>
          <w:i/>
          <w:color w:val="231F20"/>
          <w:spacing w:val="-7"/>
          <w:sz w:val="18"/>
        </w:rPr>
        <w:t> </w:t>
      </w:r>
      <w:r>
        <w:rPr>
          <w:i/>
          <w:color w:val="231F20"/>
          <w:sz w:val="18"/>
        </w:rPr>
        <w:t>agile</w:t>
      </w:r>
      <w:r>
        <w:rPr>
          <w:i/>
          <w:color w:val="231F20"/>
          <w:spacing w:val="-8"/>
          <w:sz w:val="18"/>
        </w:rPr>
        <w:t> </w:t>
      </w:r>
      <w:r>
        <w:rPr>
          <w:i/>
          <w:color w:val="231F20"/>
          <w:sz w:val="18"/>
        </w:rPr>
        <w:t>leadership</w:t>
      </w:r>
      <w:r>
        <w:rPr>
          <w:i/>
          <w:color w:val="231F20"/>
          <w:spacing w:val="-7"/>
          <w:sz w:val="18"/>
        </w:rPr>
        <w:t> </w:t>
      </w:r>
      <w:r>
        <w:rPr>
          <w:i/>
          <w:color w:val="231F20"/>
          <w:sz w:val="18"/>
        </w:rPr>
        <w:t>skill</w:t>
      </w:r>
      <w:r>
        <w:rPr>
          <w:i/>
          <w:color w:val="231F20"/>
          <w:spacing w:val="-7"/>
          <w:sz w:val="18"/>
        </w:rPr>
        <w:t> </w:t>
      </w:r>
      <w:r>
        <w:rPr>
          <w:i/>
          <w:color w:val="231F20"/>
          <w:sz w:val="18"/>
        </w:rPr>
        <w:t>perception</w:t>
      </w:r>
      <w:r>
        <w:rPr>
          <w:i/>
          <w:color w:val="231F20"/>
          <w:spacing w:val="-8"/>
          <w:sz w:val="18"/>
        </w:rPr>
        <w:t> </w:t>
      </w:r>
      <w:r>
        <w:rPr>
          <w:i/>
          <w:color w:val="231F20"/>
          <w:sz w:val="18"/>
        </w:rPr>
        <w:t>raises.</w:t>
      </w:r>
      <w:r>
        <w:rPr>
          <w:i/>
          <w:color w:val="231F20"/>
          <w:spacing w:val="-7"/>
          <w:sz w:val="18"/>
        </w:rPr>
        <w:t> </w:t>
      </w:r>
      <w:r>
        <w:rPr>
          <w:i/>
          <w:color w:val="231F20"/>
          <w:sz w:val="18"/>
        </w:rPr>
        <w:t>In</w:t>
      </w:r>
      <w:r>
        <w:rPr>
          <w:i/>
          <w:color w:val="231F20"/>
          <w:spacing w:val="-7"/>
          <w:sz w:val="18"/>
        </w:rPr>
        <w:t> </w:t>
      </w:r>
      <w:r>
        <w:rPr>
          <w:i/>
          <w:color w:val="231F20"/>
          <w:sz w:val="18"/>
        </w:rPr>
        <w:t>reply</w:t>
      </w:r>
      <w:r>
        <w:rPr>
          <w:i/>
          <w:color w:val="231F20"/>
          <w:spacing w:val="-8"/>
          <w:sz w:val="18"/>
        </w:rPr>
        <w:t> </w:t>
      </w:r>
      <w:r>
        <w:rPr>
          <w:i/>
          <w:color w:val="231F20"/>
          <w:sz w:val="18"/>
        </w:rPr>
        <w:t>to</w:t>
      </w:r>
      <w:r>
        <w:rPr>
          <w:i/>
          <w:color w:val="231F20"/>
          <w:spacing w:val="-7"/>
          <w:sz w:val="18"/>
        </w:rPr>
        <w:t> </w:t>
      </w:r>
      <w:r>
        <w:rPr>
          <w:i/>
          <w:color w:val="231F20"/>
          <w:sz w:val="18"/>
        </w:rPr>
        <w:t>volatility, for</w:t>
      </w:r>
      <w:r>
        <w:rPr>
          <w:i/>
          <w:color w:val="231F20"/>
          <w:spacing w:val="-9"/>
          <w:sz w:val="18"/>
        </w:rPr>
        <w:t> </w:t>
      </w:r>
      <w:r>
        <w:rPr>
          <w:i/>
          <w:color w:val="231F20"/>
          <w:sz w:val="18"/>
        </w:rPr>
        <w:t>improving</w:t>
      </w:r>
      <w:r>
        <w:rPr>
          <w:i/>
          <w:color w:val="231F20"/>
          <w:spacing w:val="-9"/>
          <w:sz w:val="18"/>
        </w:rPr>
        <w:t> </w:t>
      </w:r>
      <w:r>
        <w:rPr>
          <w:i/>
          <w:color w:val="231F20"/>
          <w:sz w:val="18"/>
        </w:rPr>
        <w:t>the</w:t>
      </w:r>
      <w:r>
        <w:rPr>
          <w:i/>
          <w:color w:val="231F20"/>
          <w:spacing w:val="-9"/>
          <w:sz w:val="18"/>
        </w:rPr>
        <w:t> </w:t>
      </w:r>
      <w:r>
        <w:rPr>
          <w:i/>
          <w:color w:val="231F20"/>
          <w:sz w:val="18"/>
        </w:rPr>
        <w:t>agile</w:t>
      </w:r>
      <w:r>
        <w:rPr>
          <w:i/>
          <w:color w:val="231F20"/>
          <w:spacing w:val="-9"/>
          <w:sz w:val="18"/>
        </w:rPr>
        <w:t> </w:t>
      </w:r>
      <w:r>
        <w:rPr>
          <w:i/>
          <w:color w:val="231F20"/>
          <w:sz w:val="18"/>
        </w:rPr>
        <w:t>capabilities,</w:t>
      </w:r>
      <w:r>
        <w:rPr>
          <w:i/>
          <w:color w:val="231F20"/>
          <w:spacing w:val="-9"/>
          <w:sz w:val="18"/>
        </w:rPr>
        <w:t> </w:t>
      </w:r>
      <w:r>
        <w:rPr>
          <w:i/>
          <w:color w:val="231F20"/>
          <w:sz w:val="18"/>
        </w:rPr>
        <w:t>it</w:t>
      </w:r>
      <w:r>
        <w:rPr>
          <w:i/>
          <w:color w:val="231F20"/>
          <w:spacing w:val="-8"/>
          <w:sz w:val="18"/>
        </w:rPr>
        <w:t> </w:t>
      </w:r>
      <w:r>
        <w:rPr>
          <w:i/>
          <w:color w:val="231F20"/>
          <w:sz w:val="18"/>
        </w:rPr>
        <w:t>is</w:t>
      </w:r>
      <w:r>
        <w:rPr>
          <w:i/>
          <w:color w:val="231F20"/>
          <w:spacing w:val="-9"/>
          <w:sz w:val="18"/>
        </w:rPr>
        <w:t> </w:t>
      </w:r>
      <w:r>
        <w:rPr>
          <w:i/>
          <w:color w:val="231F20"/>
          <w:sz w:val="18"/>
        </w:rPr>
        <w:t>necessary</w:t>
      </w:r>
      <w:r>
        <w:rPr>
          <w:i/>
          <w:color w:val="231F20"/>
          <w:spacing w:val="-9"/>
          <w:sz w:val="18"/>
        </w:rPr>
        <w:t> </w:t>
      </w:r>
      <w:r>
        <w:rPr>
          <w:i/>
          <w:color w:val="231F20"/>
          <w:sz w:val="18"/>
        </w:rPr>
        <w:t>to</w:t>
      </w:r>
      <w:r>
        <w:rPr>
          <w:i/>
          <w:color w:val="231F20"/>
          <w:spacing w:val="-9"/>
          <w:sz w:val="18"/>
        </w:rPr>
        <w:t> </w:t>
      </w:r>
      <w:r>
        <w:rPr>
          <w:i/>
          <w:color w:val="231F20"/>
          <w:sz w:val="18"/>
        </w:rPr>
        <w:t>make</w:t>
      </w:r>
      <w:r>
        <w:rPr>
          <w:i/>
          <w:color w:val="231F20"/>
          <w:spacing w:val="-9"/>
          <w:sz w:val="18"/>
        </w:rPr>
        <w:t> </w:t>
      </w:r>
      <w:r>
        <w:rPr>
          <w:i/>
          <w:color w:val="231F20"/>
          <w:sz w:val="18"/>
        </w:rPr>
        <w:t>the</w:t>
      </w:r>
      <w:r>
        <w:rPr>
          <w:i/>
          <w:color w:val="231F20"/>
          <w:spacing w:val="-9"/>
          <w:sz w:val="18"/>
        </w:rPr>
        <w:t> </w:t>
      </w:r>
      <w:r>
        <w:rPr>
          <w:i/>
          <w:color w:val="231F20"/>
          <w:sz w:val="18"/>
        </w:rPr>
        <w:t>decision-making</w:t>
      </w:r>
      <w:r>
        <w:rPr>
          <w:i/>
          <w:color w:val="231F20"/>
          <w:spacing w:val="-8"/>
          <w:sz w:val="18"/>
        </w:rPr>
        <w:t> </w:t>
      </w:r>
      <w:r>
        <w:rPr>
          <w:i/>
          <w:color w:val="231F20"/>
          <w:sz w:val="18"/>
        </w:rPr>
        <w:t>procedures</w:t>
      </w:r>
      <w:r>
        <w:rPr>
          <w:i/>
          <w:color w:val="231F20"/>
          <w:spacing w:val="-9"/>
          <w:sz w:val="18"/>
        </w:rPr>
        <w:t> </w:t>
      </w:r>
      <w:r>
        <w:rPr>
          <w:i/>
          <w:color w:val="231F20"/>
          <w:spacing w:val="-3"/>
          <w:sz w:val="18"/>
        </w:rPr>
        <w:t>more</w:t>
      </w:r>
      <w:r>
        <w:rPr>
          <w:i/>
          <w:color w:val="231F20"/>
          <w:spacing w:val="-9"/>
          <w:sz w:val="18"/>
        </w:rPr>
        <w:t> </w:t>
      </w:r>
      <w:r>
        <w:rPr>
          <w:i/>
          <w:color w:val="231F20"/>
          <w:sz w:val="18"/>
        </w:rPr>
        <w:t>flexible, and institutional solution of organization must a speed-based</w:t>
      </w:r>
      <w:r>
        <w:rPr>
          <w:i/>
          <w:color w:val="231F20"/>
          <w:spacing w:val="-7"/>
          <w:sz w:val="18"/>
        </w:rPr>
        <w:t> </w:t>
      </w:r>
      <w:r>
        <w:rPr>
          <w:i/>
          <w:color w:val="231F20"/>
          <w:sz w:val="18"/>
        </w:rPr>
        <w:t>basis.</w:t>
      </w:r>
    </w:p>
    <w:p>
      <w:pPr>
        <w:spacing w:before="60"/>
        <w:ind w:left="252" w:right="0" w:firstLine="0"/>
        <w:jc w:val="both"/>
        <w:rPr>
          <w:i/>
          <w:sz w:val="18"/>
        </w:rPr>
      </w:pPr>
      <w:r>
        <w:rPr>
          <w:b/>
          <w:i/>
          <w:color w:val="231F20"/>
          <w:sz w:val="18"/>
        </w:rPr>
        <w:t>Keywords: </w:t>
      </w:r>
      <w:r>
        <w:rPr>
          <w:i/>
          <w:color w:val="231F20"/>
          <w:sz w:val="18"/>
        </w:rPr>
        <w:t>Volatility, Agile Leadership Skill, Perception, Private Sector, VUCA.</w:t>
      </w:r>
    </w:p>
    <w:p>
      <w:pPr>
        <w:pStyle w:val="BodyText"/>
        <w:rPr>
          <w:i/>
        </w:rPr>
      </w:pPr>
    </w:p>
    <w:p>
      <w:pPr>
        <w:pStyle w:val="BodyText"/>
        <w:spacing w:before="7"/>
        <w:rPr>
          <w:i/>
          <w:sz w:val="29"/>
        </w:rPr>
      </w:pPr>
    </w:p>
    <w:p>
      <w:pPr>
        <w:pStyle w:val="Heading1"/>
        <w:numPr>
          <w:ilvl w:val="0"/>
          <w:numId w:val="1"/>
        </w:numPr>
        <w:tabs>
          <w:tab w:pos="453" w:val="left" w:leader="none"/>
        </w:tabs>
        <w:spacing w:line="240" w:lineRule="auto" w:before="63" w:after="0"/>
        <w:ind w:left="452" w:right="0" w:hanging="201"/>
        <w:jc w:val="left"/>
      </w:pPr>
      <w:r>
        <w:rPr>
          <w:color w:val="034694"/>
        </w:rPr>
        <w:t>Giriş</w:t>
      </w:r>
    </w:p>
    <w:p>
      <w:pPr>
        <w:pStyle w:val="BodyText"/>
        <w:spacing w:line="249" w:lineRule="auto" w:before="124"/>
        <w:ind w:left="252" w:right="250" w:firstLine="567"/>
        <w:jc w:val="both"/>
      </w:pPr>
      <w:r>
        <w:rPr>
          <w:color w:val="231F20"/>
        </w:rPr>
        <w:t>İş hayatı günlük hayatımızı tamamen değiştiren küreselleşme, dijitalleşme ve ülkeler arasındaki</w:t>
      </w:r>
      <w:r>
        <w:rPr>
          <w:color w:val="231F20"/>
          <w:spacing w:val="-7"/>
        </w:rPr>
        <w:t> </w:t>
      </w:r>
      <w:r>
        <w:rPr>
          <w:color w:val="231F20"/>
        </w:rPr>
        <w:t>ticari</w:t>
      </w:r>
      <w:r>
        <w:rPr>
          <w:color w:val="231F20"/>
          <w:spacing w:val="-7"/>
        </w:rPr>
        <w:t> </w:t>
      </w:r>
      <w:r>
        <w:rPr>
          <w:color w:val="231F20"/>
        </w:rPr>
        <w:t>savaşlar</w:t>
      </w:r>
      <w:r>
        <w:rPr>
          <w:color w:val="231F20"/>
          <w:spacing w:val="-7"/>
        </w:rPr>
        <w:t> </w:t>
      </w:r>
      <w:r>
        <w:rPr>
          <w:color w:val="231F20"/>
        </w:rPr>
        <w:t>gibi</w:t>
      </w:r>
      <w:r>
        <w:rPr>
          <w:color w:val="231F20"/>
          <w:spacing w:val="-6"/>
        </w:rPr>
        <w:t> </w:t>
      </w:r>
      <w:r>
        <w:rPr>
          <w:color w:val="231F20"/>
        </w:rPr>
        <w:t>sebeplerle</w:t>
      </w:r>
      <w:r>
        <w:rPr>
          <w:color w:val="231F20"/>
          <w:spacing w:val="-8"/>
        </w:rPr>
        <w:t> </w:t>
      </w:r>
      <w:r>
        <w:rPr>
          <w:color w:val="231F20"/>
        </w:rPr>
        <w:t>çok</w:t>
      </w:r>
      <w:r>
        <w:rPr>
          <w:color w:val="231F20"/>
          <w:spacing w:val="-7"/>
        </w:rPr>
        <w:t> </w:t>
      </w:r>
      <w:r>
        <w:rPr>
          <w:color w:val="231F20"/>
        </w:rPr>
        <w:t>farklı</w:t>
      </w:r>
      <w:r>
        <w:rPr>
          <w:color w:val="231F20"/>
          <w:spacing w:val="-7"/>
        </w:rPr>
        <w:t> </w:t>
      </w:r>
      <w:r>
        <w:rPr>
          <w:color w:val="231F20"/>
        </w:rPr>
        <w:t>bir</w:t>
      </w:r>
      <w:r>
        <w:rPr>
          <w:color w:val="231F20"/>
          <w:spacing w:val="-6"/>
        </w:rPr>
        <w:t> </w:t>
      </w:r>
      <w:r>
        <w:rPr>
          <w:color w:val="231F20"/>
        </w:rPr>
        <w:t>faza</w:t>
      </w:r>
      <w:r>
        <w:rPr>
          <w:color w:val="231F20"/>
          <w:spacing w:val="-7"/>
        </w:rPr>
        <w:t> </w:t>
      </w:r>
      <w:r>
        <w:rPr>
          <w:color w:val="231F20"/>
        </w:rPr>
        <w:t>geçmiştir</w:t>
      </w:r>
      <w:r>
        <w:rPr>
          <w:color w:val="231F20"/>
          <w:spacing w:val="-7"/>
        </w:rPr>
        <w:t> </w:t>
      </w:r>
      <w:r>
        <w:rPr>
          <w:color w:val="231F20"/>
        </w:rPr>
        <w:t>(Çapan,</w:t>
      </w:r>
      <w:r>
        <w:rPr>
          <w:color w:val="231F20"/>
          <w:spacing w:val="-7"/>
        </w:rPr>
        <w:t> </w:t>
      </w:r>
      <w:r>
        <w:rPr>
          <w:color w:val="231F20"/>
        </w:rPr>
        <w:t>2019).</w:t>
      </w:r>
      <w:r>
        <w:rPr>
          <w:color w:val="231F20"/>
          <w:spacing w:val="-6"/>
        </w:rPr>
        <w:t> </w:t>
      </w:r>
      <w:r>
        <w:rPr>
          <w:color w:val="231F20"/>
        </w:rPr>
        <w:t>2020</w:t>
      </w:r>
      <w:r>
        <w:rPr>
          <w:color w:val="231F20"/>
          <w:spacing w:val="-7"/>
        </w:rPr>
        <w:t> </w:t>
      </w:r>
      <w:r>
        <w:rPr>
          <w:color w:val="231F20"/>
        </w:rPr>
        <w:t>Mart ayı itibariyle başlayan pandemi ile birlikte, panik, korku, karamsarlık ve belirsizlikle tanım- lanan ve şekillenen bir ortama tanık olunmuştur. Sürecin uzaması, uzun dönemli etkileri ve bilinmezlikler yöneticileri yeni ve yönetilmesi gereken bir durumla karşı karşıya bırakmıştır (Cingöz,</w:t>
      </w:r>
      <w:r>
        <w:rPr>
          <w:color w:val="231F20"/>
          <w:spacing w:val="-11"/>
        </w:rPr>
        <w:t> </w:t>
      </w:r>
      <w:r>
        <w:rPr>
          <w:color w:val="231F20"/>
        </w:rPr>
        <w:t>2020).</w:t>
      </w:r>
      <w:r>
        <w:rPr>
          <w:color w:val="231F20"/>
          <w:spacing w:val="-10"/>
        </w:rPr>
        <w:t> </w:t>
      </w:r>
      <w:r>
        <w:rPr>
          <w:color w:val="231F20"/>
        </w:rPr>
        <w:t>Küresel</w:t>
      </w:r>
      <w:r>
        <w:rPr>
          <w:color w:val="231F20"/>
          <w:spacing w:val="-11"/>
        </w:rPr>
        <w:t> </w:t>
      </w:r>
      <w:r>
        <w:rPr>
          <w:color w:val="231F20"/>
        </w:rPr>
        <w:t>düzeyde</w:t>
      </w:r>
      <w:r>
        <w:rPr>
          <w:color w:val="231F20"/>
          <w:spacing w:val="-10"/>
        </w:rPr>
        <w:t> </w:t>
      </w:r>
      <w:r>
        <w:rPr>
          <w:color w:val="231F20"/>
        </w:rPr>
        <w:t>yaşanılan</w:t>
      </w:r>
      <w:r>
        <w:rPr>
          <w:color w:val="231F20"/>
          <w:spacing w:val="-11"/>
        </w:rPr>
        <w:t> </w:t>
      </w:r>
      <w:r>
        <w:rPr>
          <w:color w:val="231F20"/>
        </w:rPr>
        <w:t>ve</w:t>
      </w:r>
      <w:r>
        <w:rPr>
          <w:color w:val="231F20"/>
          <w:spacing w:val="-10"/>
        </w:rPr>
        <w:t> </w:t>
      </w:r>
      <w:r>
        <w:rPr>
          <w:color w:val="231F20"/>
        </w:rPr>
        <w:t>halen</w:t>
      </w:r>
      <w:r>
        <w:rPr>
          <w:color w:val="231F20"/>
          <w:spacing w:val="-11"/>
        </w:rPr>
        <w:t> </w:t>
      </w:r>
      <w:r>
        <w:rPr>
          <w:color w:val="231F20"/>
        </w:rPr>
        <w:t>içinde</w:t>
      </w:r>
      <w:r>
        <w:rPr>
          <w:color w:val="231F20"/>
          <w:spacing w:val="-10"/>
        </w:rPr>
        <w:t> </w:t>
      </w:r>
      <w:r>
        <w:rPr>
          <w:color w:val="231F20"/>
        </w:rPr>
        <w:t>bulunulan</w:t>
      </w:r>
      <w:r>
        <w:rPr>
          <w:color w:val="231F20"/>
          <w:spacing w:val="-11"/>
        </w:rPr>
        <w:t> </w:t>
      </w:r>
      <w:r>
        <w:rPr>
          <w:color w:val="231F20"/>
        </w:rPr>
        <w:t>bu</w:t>
      </w:r>
      <w:r>
        <w:rPr>
          <w:color w:val="231F20"/>
          <w:spacing w:val="-10"/>
        </w:rPr>
        <w:t> </w:t>
      </w:r>
      <w:r>
        <w:rPr>
          <w:color w:val="231F20"/>
        </w:rPr>
        <w:t>durum</w:t>
      </w:r>
      <w:r>
        <w:rPr>
          <w:color w:val="231F20"/>
          <w:spacing w:val="-11"/>
        </w:rPr>
        <w:t> </w:t>
      </w:r>
      <w:r>
        <w:rPr>
          <w:color w:val="231F20"/>
        </w:rPr>
        <w:t>birçok</w:t>
      </w:r>
      <w:r>
        <w:rPr>
          <w:color w:val="231F20"/>
          <w:spacing w:val="-10"/>
        </w:rPr>
        <w:t> </w:t>
      </w:r>
      <w:r>
        <w:rPr>
          <w:color w:val="231F20"/>
        </w:rPr>
        <w:t>belirsiz- lik, karmaşıklık, kararsızlık ve değişimi barındırmaktadır. Diğer bir ifadeyle, içinde bulunulan ortam bir VUCA ortamıdır (Kırpık, 2020a; Kırpık, 2020b; Petzer,</w:t>
      </w:r>
      <w:r>
        <w:rPr>
          <w:color w:val="231F20"/>
          <w:spacing w:val="-7"/>
        </w:rPr>
        <w:t> </w:t>
      </w:r>
      <w:r>
        <w:rPr>
          <w:color w:val="231F20"/>
        </w:rPr>
        <w:t>2020).</w:t>
      </w:r>
    </w:p>
    <w:p>
      <w:pPr>
        <w:pStyle w:val="BodyText"/>
        <w:spacing w:line="249" w:lineRule="auto" w:before="119"/>
        <w:ind w:left="252" w:right="249" w:firstLine="567"/>
        <w:jc w:val="both"/>
      </w:pPr>
      <w:r>
        <w:rPr>
          <w:color w:val="231F20"/>
        </w:rPr>
        <w:t>Hızlı değişim ve gelişmelerin yaşandığı iş dünyasında işletmelerin faaliyetlerini devam ettirebilmesi, süreci doğru bir şekilde planlayan ve yöneten, değişime açık, yenilikçi yapıdaki yöneticilerin varlığı ile mümkün olabilecektir (Atam vd., 2020; Bilim, 2020). İyi bir yönetici olabilmek için aynı zamanda liderlik becerisine de sahip olunması gerektiği açıktır. Çalışanlar açısından beklenen yöneticinin aynı zamanda iyi bir lider de olmasıdır (Cinnioğlu &amp; Salha, 2019; Koçel, 2015).</w:t>
      </w:r>
    </w:p>
    <w:p>
      <w:pPr>
        <w:pStyle w:val="BodyText"/>
        <w:spacing w:line="249" w:lineRule="auto" w:before="119"/>
        <w:ind w:left="252" w:right="248" w:firstLine="567"/>
        <w:jc w:val="both"/>
      </w:pPr>
      <w:r>
        <w:rPr>
          <w:color w:val="231F20"/>
        </w:rPr>
        <w:t>Süratli ve sürekli değişimleri içeren, öngörü yapmanın zor olduğu kaotik yapıdaki VUCA ortamında yöneticilerin yeni yaklaşım ve becerilerine gereksinim vardır. Johnson &amp; Veldsman (2017) gelecekteki liderlik için önemli olacak yetenek kümeleri önermiştir. Araş- tırmada, dünyada liderlikte önemli yetenek kümeleri arasında ilk sırada çevikliğin yer aldığı görülmektedir.</w:t>
      </w:r>
      <w:r>
        <w:rPr>
          <w:color w:val="231F20"/>
          <w:spacing w:val="-8"/>
        </w:rPr>
        <w:t> </w:t>
      </w:r>
      <w:r>
        <w:rPr>
          <w:color w:val="231F20"/>
        </w:rPr>
        <w:t>Saleh</w:t>
      </w:r>
      <w:r>
        <w:rPr>
          <w:color w:val="231F20"/>
          <w:spacing w:val="-7"/>
        </w:rPr>
        <w:t> </w:t>
      </w:r>
      <w:r>
        <w:rPr>
          <w:color w:val="231F20"/>
        </w:rPr>
        <w:t>&amp;</w:t>
      </w:r>
      <w:r>
        <w:rPr>
          <w:color w:val="231F20"/>
          <w:spacing w:val="-7"/>
        </w:rPr>
        <w:t> </w:t>
      </w:r>
      <w:r>
        <w:rPr>
          <w:color w:val="231F20"/>
        </w:rPr>
        <w:t>Watson</w:t>
      </w:r>
      <w:r>
        <w:rPr>
          <w:color w:val="231F20"/>
          <w:spacing w:val="-6"/>
        </w:rPr>
        <w:t> </w:t>
      </w:r>
      <w:r>
        <w:rPr>
          <w:color w:val="231F20"/>
        </w:rPr>
        <w:t>(2017)’un</w:t>
      </w:r>
      <w:r>
        <w:rPr>
          <w:color w:val="231F20"/>
          <w:spacing w:val="-7"/>
        </w:rPr>
        <w:t> </w:t>
      </w:r>
      <w:r>
        <w:rPr>
          <w:color w:val="231F20"/>
        </w:rPr>
        <w:t>çalışmasında,</w:t>
      </w:r>
      <w:r>
        <w:rPr>
          <w:color w:val="231F20"/>
          <w:spacing w:val="-7"/>
        </w:rPr>
        <w:t> </w:t>
      </w:r>
      <w:r>
        <w:rPr>
          <w:color w:val="231F20"/>
        </w:rPr>
        <w:t>VUCA</w:t>
      </w:r>
      <w:r>
        <w:rPr>
          <w:color w:val="231F20"/>
          <w:spacing w:val="-7"/>
        </w:rPr>
        <w:t> </w:t>
      </w:r>
      <w:r>
        <w:rPr>
          <w:color w:val="231F20"/>
        </w:rPr>
        <w:t>ortamında</w:t>
      </w:r>
      <w:r>
        <w:rPr>
          <w:color w:val="231F20"/>
          <w:spacing w:val="-7"/>
        </w:rPr>
        <w:t> </w:t>
      </w:r>
      <w:r>
        <w:rPr>
          <w:color w:val="231F20"/>
        </w:rPr>
        <w:t>iş</w:t>
      </w:r>
      <w:r>
        <w:rPr>
          <w:color w:val="231F20"/>
          <w:spacing w:val="-7"/>
        </w:rPr>
        <w:t> </w:t>
      </w:r>
      <w:r>
        <w:rPr>
          <w:color w:val="231F20"/>
        </w:rPr>
        <w:t>mükemmelliğine ulaşabilmek için çevik liderlik bir kritik başarı faktörü olarak belirtilmiştir. Petry (2018) çalış- masında, çevik liderliği VUCA ortamında ihtiyaç duyulan bir liderlik tarzı olarak ortaya koy- muştur. Guzmán vd. (2020) araştırmasında, sürekli değişim ve dijital dönüşümlerin yaşandığı Endüstri 4.0 ortamında gerekli bir liderlik özelliği olarak çevik liderliği belirtmiştir.</w:t>
      </w:r>
    </w:p>
    <w:p>
      <w:pPr>
        <w:pStyle w:val="BodyText"/>
        <w:spacing w:line="249" w:lineRule="auto" w:before="121"/>
        <w:ind w:left="252" w:right="249" w:firstLine="567"/>
        <w:jc w:val="both"/>
      </w:pPr>
      <w:r>
        <w:rPr>
          <w:color w:val="231F20"/>
        </w:rPr>
        <w:t>VUCA dünyasındaki belirsizlik, değişim, karmaşıklık ve muğlaklığı yönetebilmek </w:t>
      </w:r>
      <w:r>
        <w:rPr>
          <w:color w:val="231F20"/>
          <w:spacing w:val="-3"/>
        </w:rPr>
        <w:t>için </w:t>
      </w:r>
      <w:r>
        <w:rPr>
          <w:color w:val="231F20"/>
        </w:rPr>
        <w:t>VUCA’</w:t>
      </w:r>
      <w:r>
        <w:rPr>
          <w:color w:val="231F20"/>
          <w:spacing w:val="-10"/>
        </w:rPr>
        <w:t> </w:t>
      </w:r>
      <w:r>
        <w:rPr>
          <w:color w:val="231F20"/>
        </w:rPr>
        <w:t>nın</w:t>
      </w:r>
      <w:r>
        <w:rPr>
          <w:color w:val="231F20"/>
          <w:spacing w:val="-9"/>
        </w:rPr>
        <w:t> </w:t>
      </w:r>
      <w:r>
        <w:rPr>
          <w:color w:val="231F20"/>
        </w:rPr>
        <w:t>yönetsel</w:t>
      </w:r>
      <w:r>
        <w:rPr>
          <w:color w:val="231F20"/>
          <w:spacing w:val="-9"/>
        </w:rPr>
        <w:t> </w:t>
      </w:r>
      <w:r>
        <w:rPr>
          <w:color w:val="231F20"/>
        </w:rPr>
        <w:t>ortamının</w:t>
      </w:r>
      <w:r>
        <w:rPr>
          <w:color w:val="231F20"/>
          <w:spacing w:val="-10"/>
        </w:rPr>
        <w:t> </w:t>
      </w:r>
      <w:r>
        <w:rPr>
          <w:color w:val="231F20"/>
        </w:rPr>
        <w:t>tanımlanması</w:t>
      </w:r>
      <w:r>
        <w:rPr>
          <w:color w:val="231F20"/>
          <w:spacing w:val="-9"/>
        </w:rPr>
        <w:t> </w:t>
      </w:r>
      <w:r>
        <w:rPr>
          <w:color w:val="231F20"/>
        </w:rPr>
        <w:t>ve</w:t>
      </w:r>
      <w:r>
        <w:rPr>
          <w:color w:val="231F20"/>
          <w:spacing w:val="-9"/>
        </w:rPr>
        <w:t> </w:t>
      </w:r>
      <w:r>
        <w:rPr>
          <w:color w:val="231F20"/>
        </w:rPr>
        <w:t>bu</w:t>
      </w:r>
      <w:r>
        <w:rPr>
          <w:color w:val="231F20"/>
          <w:spacing w:val="-9"/>
        </w:rPr>
        <w:t> </w:t>
      </w:r>
      <w:r>
        <w:rPr>
          <w:color w:val="231F20"/>
        </w:rPr>
        <w:t>ortama</w:t>
      </w:r>
      <w:r>
        <w:rPr>
          <w:color w:val="231F20"/>
          <w:spacing w:val="-10"/>
        </w:rPr>
        <w:t> </w:t>
      </w:r>
      <w:r>
        <w:rPr>
          <w:color w:val="231F20"/>
        </w:rPr>
        <w:t>uygun</w:t>
      </w:r>
      <w:r>
        <w:rPr>
          <w:color w:val="231F20"/>
          <w:spacing w:val="-9"/>
        </w:rPr>
        <w:t> </w:t>
      </w:r>
      <w:r>
        <w:rPr>
          <w:color w:val="231F20"/>
        </w:rPr>
        <w:t>yeni</w:t>
      </w:r>
      <w:r>
        <w:rPr>
          <w:color w:val="231F20"/>
          <w:spacing w:val="-9"/>
        </w:rPr>
        <w:t> </w:t>
      </w:r>
      <w:r>
        <w:rPr>
          <w:color w:val="231F20"/>
        </w:rPr>
        <w:t>yönetsel</w:t>
      </w:r>
      <w:r>
        <w:rPr>
          <w:color w:val="231F20"/>
          <w:spacing w:val="-10"/>
        </w:rPr>
        <w:t> </w:t>
      </w:r>
      <w:r>
        <w:rPr>
          <w:color w:val="231F20"/>
        </w:rPr>
        <w:t>yetkinliklerden olan çevik liderliğin çalışan üzerindeki algısal etkilerinin ölçülebilmesi için bir ölçme aracı- nın geliştirilmesi araştırmanın çıkış noktasını oluşturmaktadır. Araştırmada çalışanların çevik liderlik</w:t>
      </w:r>
      <w:r>
        <w:rPr>
          <w:color w:val="231F20"/>
          <w:spacing w:val="-6"/>
        </w:rPr>
        <w:t> </w:t>
      </w:r>
      <w:r>
        <w:rPr>
          <w:color w:val="231F20"/>
        </w:rPr>
        <w:t>becerisi</w:t>
      </w:r>
      <w:r>
        <w:rPr>
          <w:color w:val="231F20"/>
          <w:spacing w:val="-5"/>
        </w:rPr>
        <w:t> </w:t>
      </w:r>
      <w:r>
        <w:rPr>
          <w:color w:val="231F20"/>
        </w:rPr>
        <w:t>algısını</w:t>
      </w:r>
      <w:r>
        <w:rPr>
          <w:color w:val="231F20"/>
          <w:spacing w:val="-6"/>
        </w:rPr>
        <w:t> </w:t>
      </w:r>
      <w:r>
        <w:rPr>
          <w:color w:val="231F20"/>
        </w:rPr>
        <w:t>belirlemeye</w:t>
      </w:r>
      <w:r>
        <w:rPr>
          <w:color w:val="231F20"/>
          <w:spacing w:val="-5"/>
        </w:rPr>
        <w:t> </w:t>
      </w:r>
      <w:r>
        <w:rPr>
          <w:color w:val="231F20"/>
        </w:rPr>
        <w:t>yönelik</w:t>
      </w:r>
      <w:r>
        <w:rPr>
          <w:color w:val="231F20"/>
          <w:spacing w:val="-6"/>
        </w:rPr>
        <w:t> </w:t>
      </w:r>
      <w:r>
        <w:rPr>
          <w:color w:val="231F20"/>
        </w:rPr>
        <w:t>bir</w:t>
      </w:r>
      <w:r>
        <w:rPr>
          <w:color w:val="231F20"/>
          <w:spacing w:val="-5"/>
        </w:rPr>
        <w:t> </w:t>
      </w:r>
      <w:r>
        <w:rPr>
          <w:color w:val="231F20"/>
        </w:rPr>
        <w:t>ölçme</w:t>
      </w:r>
      <w:r>
        <w:rPr>
          <w:color w:val="231F20"/>
          <w:spacing w:val="-6"/>
        </w:rPr>
        <w:t> </w:t>
      </w:r>
      <w:r>
        <w:rPr>
          <w:color w:val="231F20"/>
        </w:rPr>
        <w:t>aracı</w:t>
      </w:r>
      <w:r>
        <w:rPr>
          <w:color w:val="231F20"/>
          <w:spacing w:val="-5"/>
        </w:rPr>
        <w:t> </w:t>
      </w:r>
      <w:r>
        <w:rPr>
          <w:color w:val="231F20"/>
        </w:rPr>
        <w:t>geliştirmek</w:t>
      </w:r>
      <w:r>
        <w:rPr>
          <w:color w:val="231F20"/>
          <w:spacing w:val="-5"/>
        </w:rPr>
        <w:t> </w:t>
      </w:r>
      <w:r>
        <w:rPr>
          <w:color w:val="231F20"/>
        </w:rPr>
        <w:t>amaçlanmış</w:t>
      </w:r>
      <w:r>
        <w:rPr>
          <w:color w:val="231F20"/>
          <w:spacing w:val="-6"/>
        </w:rPr>
        <w:t> </w:t>
      </w:r>
      <w:r>
        <w:rPr>
          <w:color w:val="231F20"/>
        </w:rPr>
        <w:t>ve</w:t>
      </w:r>
      <w:r>
        <w:rPr>
          <w:color w:val="231F20"/>
          <w:spacing w:val="-5"/>
        </w:rPr>
        <w:t> </w:t>
      </w:r>
      <w:r>
        <w:rPr>
          <w:color w:val="231F20"/>
        </w:rPr>
        <w:t>VUCA algısının çevik liderlik becerisi algısı üzerindeki etkisi araştırılmıştır.</w:t>
      </w:r>
    </w:p>
    <w:p>
      <w:pPr>
        <w:pStyle w:val="BodyText"/>
        <w:spacing w:line="249" w:lineRule="auto" w:before="118"/>
        <w:ind w:left="252" w:right="250" w:firstLine="567"/>
        <w:jc w:val="both"/>
      </w:pPr>
      <w:r>
        <w:rPr>
          <w:color w:val="231F20"/>
        </w:rPr>
        <w:t>Araştırmada</w:t>
      </w:r>
      <w:r>
        <w:rPr>
          <w:color w:val="231F20"/>
          <w:spacing w:val="-6"/>
        </w:rPr>
        <w:t> </w:t>
      </w:r>
      <w:r>
        <w:rPr>
          <w:color w:val="231F20"/>
        </w:rPr>
        <w:t>geliştirilen</w:t>
      </w:r>
      <w:r>
        <w:rPr>
          <w:color w:val="231F20"/>
          <w:spacing w:val="-6"/>
        </w:rPr>
        <w:t> </w:t>
      </w:r>
      <w:r>
        <w:rPr>
          <w:color w:val="231F20"/>
        </w:rPr>
        <w:t>ölçeğin</w:t>
      </w:r>
      <w:r>
        <w:rPr>
          <w:color w:val="231F20"/>
          <w:spacing w:val="-6"/>
        </w:rPr>
        <w:t> </w:t>
      </w:r>
      <w:r>
        <w:rPr>
          <w:color w:val="231F20"/>
        </w:rPr>
        <w:t>çevik</w:t>
      </w:r>
      <w:r>
        <w:rPr>
          <w:color w:val="231F20"/>
          <w:spacing w:val="-6"/>
        </w:rPr>
        <w:t> </w:t>
      </w:r>
      <w:r>
        <w:rPr>
          <w:color w:val="231F20"/>
        </w:rPr>
        <w:t>liderlik</w:t>
      </w:r>
      <w:r>
        <w:rPr>
          <w:color w:val="231F20"/>
          <w:spacing w:val="-6"/>
        </w:rPr>
        <w:t> </w:t>
      </w:r>
      <w:r>
        <w:rPr>
          <w:color w:val="231F20"/>
        </w:rPr>
        <w:t>becerisi</w:t>
      </w:r>
      <w:r>
        <w:rPr>
          <w:color w:val="231F20"/>
          <w:spacing w:val="-6"/>
        </w:rPr>
        <w:t> </w:t>
      </w:r>
      <w:r>
        <w:rPr>
          <w:color w:val="231F20"/>
        </w:rPr>
        <w:t>algısı</w:t>
      </w:r>
      <w:r>
        <w:rPr>
          <w:color w:val="231F20"/>
          <w:spacing w:val="-6"/>
        </w:rPr>
        <w:t> </w:t>
      </w:r>
      <w:r>
        <w:rPr>
          <w:color w:val="231F20"/>
        </w:rPr>
        <w:t>ile</w:t>
      </w:r>
      <w:r>
        <w:rPr>
          <w:color w:val="231F20"/>
          <w:spacing w:val="-6"/>
        </w:rPr>
        <w:t> </w:t>
      </w:r>
      <w:r>
        <w:rPr>
          <w:color w:val="231F20"/>
        </w:rPr>
        <w:t>ilgili</w:t>
      </w:r>
      <w:r>
        <w:rPr>
          <w:color w:val="231F20"/>
          <w:spacing w:val="-6"/>
        </w:rPr>
        <w:t> </w:t>
      </w:r>
      <w:r>
        <w:rPr>
          <w:color w:val="231F20"/>
        </w:rPr>
        <w:t>yapılacak</w:t>
      </w:r>
      <w:r>
        <w:rPr>
          <w:color w:val="231F20"/>
          <w:spacing w:val="-6"/>
        </w:rPr>
        <w:t> </w:t>
      </w:r>
      <w:r>
        <w:rPr>
          <w:color w:val="231F20"/>
        </w:rPr>
        <w:t>çalışma- lara ve örgütsel davranış alanına katkı sağlayacağı değerlendirilmektedir. Bu ölçme aracıyla ulaşılan</w:t>
      </w:r>
      <w:r>
        <w:rPr>
          <w:color w:val="231F20"/>
          <w:spacing w:val="-14"/>
        </w:rPr>
        <w:t> </w:t>
      </w:r>
      <w:r>
        <w:rPr>
          <w:color w:val="231F20"/>
        </w:rPr>
        <w:t>araştırma</w:t>
      </w:r>
      <w:r>
        <w:rPr>
          <w:color w:val="231F20"/>
          <w:spacing w:val="-13"/>
        </w:rPr>
        <w:t> </w:t>
      </w:r>
      <w:r>
        <w:rPr>
          <w:color w:val="231F20"/>
        </w:rPr>
        <w:t>sonuçlarının</w:t>
      </w:r>
      <w:r>
        <w:rPr>
          <w:color w:val="231F20"/>
          <w:spacing w:val="-13"/>
        </w:rPr>
        <w:t> </w:t>
      </w:r>
      <w:r>
        <w:rPr>
          <w:color w:val="231F20"/>
        </w:rPr>
        <w:t>VUCA</w:t>
      </w:r>
      <w:r>
        <w:rPr>
          <w:color w:val="231F20"/>
          <w:spacing w:val="-13"/>
        </w:rPr>
        <w:t> </w:t>
      </w:r>
      <w:r>
        <w:rPr>
          <w:color w:val="231F20"/>
        </w:rPr>
        <w:t>ortamında</w:t>
      </w:r>
      <w:r>
        <w:rPr>
          <w:color w:val="231F20"/>
          <w:spacing w:val="-14"/>
        </w:rPr>
        <w:t> </w:t>
      </w:r>
      <w:r>
        <w:rPr>
          <w:color w:val="231F20"/>
        </w:rPr>
        <w:t>yöneticilere</w:t>
      </w:r>
      <w:r>
        <w:rPr>
          <w:color w:val="231F20"/>
          <w:spacing w:val="-13"/>
        </w:rPr>
        <w:t> </w:t>
      </w:r>
      <w:r>
        <w:rPr>
          <w:color w:val="231F20"/>
        </w:rPr>
        <w:t>rehberlik</w:t>
      </w:r>
      <w:r>
        <w:rPr>
          <w:color w:val="231F20"/>
          <w:spacing w:val="-14"/>
        </w:rPr>
        <w:t> </w:t>
      </w:r>
      <w:r>
        <w:rPr>
          <w:color w:val="231F20"/>
        </w:rPr>
        <w:t>edeceği,</w:t>
      </w:r>
      <w:r>
        <w:rPr>
          <w:color w:val="231F20"/>
          <w:spacing w:val="-14"/>
        </w:rPr>
        <w:t> </w:t>
      </w:r>
      <w:r>
        <w:rPr>
          <w:color w:val="231F20"/>
        </w:rPr>
        <w:t>hedeflere</w:t>
      </w:r>
      <w:r>
        <w:rPr>
          <w:color w:val="231F20"/>
          <w:spacing w:val="-13"/>
        </w:rPr>
        <w:t> </w:t>
      </w:r>
      <w:r>
        <w:rPr>
          <w:color w:val="231F20"/>
        </w:rPr>
        <w:t>ulaş-</w:t>
      </w:r>
    </w:p>
    <w:p>
      <w:pPr>
        <w:spacing w:after="0" w:line="249" w:lineRule="auto"/>
        <w:jc w:val="both"/>
        <w:sectPr>
          <w:headerReference w:type="even" r:id="rId11"/>
          <w:headerReference w:type="default" r:id="rId12"/>
          <w:pgSz w:w="9530" w:h="13610"/>
          <w:pgMar w:header="700" w:footer="344" w:top="1060" w:bottom="540" w:left="740" w:right="740"/>
        </w:sectPr>
      </w:pPr>
    </w:p>
    <w:p>
      <w:pPr>
        <w:pStyle w:val="BodyText"/>
      </w:pPr>
    </w:p>
    <w:p>
      <w:pPr>
        <w:pStyle w:val="BodyText"/>
        <w:spacing w:before="1"/>
      </w:pPr>
    </w:p>
    <w:p>
      <w:pPr>
        <w:pStyle w:val="BodyText"/>
        <w:spacing w:line="249" w:lineRule="auto" w:before="1"/>
        <w:ind w:left="252" w:right="250"/>
        <w:jc w:val="both"/>
      </w:pPr>
      <w:r>
        <w:rPr>
          <w:color w:val="231F20"/>
        </w:rPr>
        <w:t>mada</w:t>
      </w:r>
      <w:r>
        <w:rPr>
          <w:color w:val="231F20"/>
          <w:spacing w:val="-9"/>
        </w:rPr>
        <w:t> </w:t>
      </w:r>
      <w:r>
        <w:rPr>
          <w:color w:val="231F20"/>
        </w:rPr>
        <w:t>ışık</w:t>
      </w:r>
      <w:r>
        <w:rPr>
          <w:color w:val="231F20"/>
          <w:spacing w:val="-8"/>
        </w:rPr>
        <w:t> </w:t>
      </w:r>
      <w:r>
        <w:rPr>
          <w:color w:val="231F20"/>
        </w:rPr>
        <w:t>tutacak</w:t>
      </w:r>
      <w:r>
        <w:rPr>
          <w:color w:val="231F20"/>
          <w:spacing w:val="-8"/>
        </w:rPr>
        <w:t> </w:t>
      </w:r>
      <w:r>
        <w:rPr>
          <w:color w:val="231F20"/>
        </w:rPr>
        <w:t>bakış</w:t>
      </w:r>
      <w:r>
        <w:rPr>
          <w:color w:val="231F20"/>
          <w:spacing w:val="-8"/>
        </w:rPr>
        <w:t> </w:t>
      </w:r>
      <w:r>
        <w:rPr>
          <w:color w:val="231F20"/>
        </w:rPr>
        <w:t>açısı</w:t>
      </w:r>
      <w:r>
        <w:rPr>
          <w:color w:val="231F20"/>
          <w:spacing w:val="-8"/>
        </w:rPr>
        <w:t> </w:t>
      </w:r>
      <w:r>
        <w:rPr>
          <w:color w:val="231F20"/>
        </w:rPr>
        <w:t>sağlayacağı,</w:t>
      </w:r>
      <w:r>
        <w:rPr>
          <w:color w:val="231F20"/>
          <w:spacing w:val="-8"/>
        </w:rPr>
        <w:t> </w:t>
      </w:r>
      <w:r>
        <w:rPr>
          <w:color w:val="231F20"/>
        </w:rPr>
        <w:t>karar</w:t>
      </w:r>
      <w:r>
        <w:rPr>
          <w:color w:val="231F20"/>
          <w:spacing w:val="-8"/>
        </w:rPr>
        <w:t> </w:t>
      </w:r>
      <w:r>
        <w:rPr>
          <w:color w:val="231F20"/>
        </w:rPr>
        <w:t>alma</w:t>
      </w:r>
      <w:r>
        <w:rPr>
          <w:color w:val="231F20"/>
          <w:spacing w:val="-8"/>
        </w:rPr>
        <w:t> </w:t>
      </w:r>
      <w:r>
        <w:rPr>
          <w:color w:val="231F20"/>
        </w:rPr>
        <w:t>yöntemlerini</w:t>
      </w:r>
      <w:r>
        <w:rPr>
          <w:color w:val="231F20"/>
          <w:spacing w:val="-8"/>
        </w:rPr>
        <w:t> </w:t>
      </w:r>
      <w:r>
        <w:rPr>
          <w:color w:val="231F20"/>
        </w:rPr>
        <w:t>destekleyeceği</w:t>
      </w:r>
      <w:r>
        <w:rPr>
          <w:color w:val="231F20"/>
          <w:spacing w:val="-8"/>
        </w:rPr>
        <w:t> </w:t>
      </w:r>
      <w:r>
        <w:rPr>
          <w:color w:val="231F20"/>
        </w:rPr>
        <w:t>öngörülmek- tedir. Bu kapsamda sürdürülebilir işletme ve değer yaratma süreçlerine katkıda bulunabileceği düşünülmektedir. Araştırma Covid-19 pandemisinin getirdiği kaos ortamında gerçekleşmiştir. Bu sebeple görüşmeler ve anket formu aracılığıyla elde edilen katılımcı yanıtlarının gerçeği yansıtacağı varsayılmıştır.</w:t>
      </w:r>
    </w:p>
    <w:p>
      <w:pPr>
        <w:pStyle w:val="BodyText"/>
      </w:pPr>
    </w:p>
    <w:p>
      <w:pPr>
        <w:pStyle w:val="Heading1"/>
        <w:numPr>
          <w:ilvl w:val="0"/>
          <w:numId w:val="1"/>
        </w:numPr>
        <w:tabs>
          <w:tab w:pos="453" w:val="left" w:leader="none"/>
        </w:tabs>
        <w:spacing w:line="240" w:lineRule="auto" w:before="1" w:after="0"/>
        <w:ind w:left="452" w:right="0" w:hanging="201"/>
        <w:jc w:val="left"/>
      </w:pPr>
      <w:r>
        <w:rPr>
          <w:color w:val="034694"/>
        </w:rPr>
        <w:t>Kavramsal</w:t>
      </w:r>
      <w:r>
        <w:rPr>
          <w:color w:val="034694"/>
          <w:spacing w:val="-7"/>
        </w:rPr>
        <w:t> </w:t>
      </w:r>
      <w:r>
        <w:rPr>
          <w:color w:val="034694"/>
        </w:rPr>
        <w:t>Çerçeve</w:t>
      </w:r>
    </w:p>
    <w:p>
      <w:pPr>
        <w:pStyle w:val="ListParagraph"/>
        <w:numPr>
          <w:ilvl w:val="1"/>
          <w:numId w:val="1"/>
        </w:numPr>
        <w:tabs>
          <w:tab w:pos="599" w:val="left" w:leader="none"/>
        </w:tabs>
        <w:spacing w:line="240" w:lineRule="auto" w:before="123" w:after="0"/>
        <w:ind w:left="598" w:right="0" w:hanging="347"/>
        <w:jc w:val="left"/>
        <w:rPr>
          <w:b/>
          <w:sz w:val="20"/>
        </w:rPr>
      </w:pPr>
      <w:r>
        <w:rPr>
          <w:b/>
          <w:color w:val="034694"/>
          <w:sz w:val="20"/>
        </w:rPr>
        <w:t>VUCA</w:t>
      </w:r>
      <w:r>
        <w:rPr>
          <w:b/>
          <w:color w:val="034694"/>
          <w:spacing w:val="-4"/>
          <w:sz w:val="20"/>
        </w:rPr>
        <w:t> </w:t>
      </w:r>
      <w:r>
        <w:rPr>
          <w:b/>
          <w:color w:val="034694"/>
          <w:sz w:val="20"/>
        </w:rPr>
        <w:t>Kavramı</w:t>
      </w:r>
    </w:p>
    <w:p>
      <w:pPr>
        <w:pStyle w:val="BodyText"/>
        <w:spacing w:line="249" w:lineRule="auto" w:before="123"/>
        <w:ind w:left="252" w:right="249" w:firstLine="567"/>
        <w:jc w:val="both"/>
      </w:pPr>
      <w:r>
        <w:rPr>
          <w:color w:val="231F20"/>
        </w:rPr>
        <w:t>Bennis</w:t>
      </w:r>
      <w:r>
        <w:rPr>
          <w:color w:val="231F20"/>
          <w:spacing w:val="-6"/>
        </w:rPr>
        <w:t> </w:t>
      </w:r>
      <w:r>
        <w:rPr>
          <w:color w:val="231F20"/>
        </w:rPr>
        <w:t>ve</w:t>
      </w:r>
      <w:r>
        <w:rPr>
          <w:color w:val="231F20"/>
          <w:spacing w:val="-6"/>
        </w:rPr>
        <w:t> </w:t>
      </w:r>
      <w:r>
        <w:rPr>
          <w:color w:val="231F20"/>
        </w:rPr>
        <w:t>Nannus</w:t>
      </w:r>
      <w:r>
        <w:rPr>
          <w:color w:val="231F20"/>
          <w:spacing w:val="-6"/>
        </w:rPr>
        <w:t> </w:t>
      </w:r>
      <w:r>
        <w:rPr>
          <w:color w:val="231F20"/>
        </w:rPr>
        <w:t>tarafından</w:t>
      </w:r>
      <w:r>
        <w:rPr>
          <w:color w:val="231F20"/>
          <w:spacing w:val="-6"/>
        </w:rPr>
        <w:t> </w:t>
      </w:r>
      <w:r>
        <w:rPr>
          <w:color w:val="231F20"/>
        </w:rPr>
        <w:t>1987’de</w:t>
      </w:r>
      <w:r>
        <w:rPr>
          <w:color w:val="231F20"/>
          <w:spacing w:val="-5"/>
        </w:rPr>
        <w:t> </w:t>
      </w:r>
      <w:r>
        <w:rPr>
          <w:color w:val="231F20"/>
        </w:rPr>
        <w:t>ortaya</w:t>
      </w:r>
      <w:r>
        <w:rPr>
          <w:color w:val="231F20"/>
          <w:spacing w:val="-6"/>
        </w:rPr>
        <w:t> </w:t>
      </w:r>
      <w:r>
        <w:rPr>
          <w:color w:val="231F20"/>
        </w:rPr>
        <w:t>konulan</w:t>
      </w:r>
      <w:r>
        <w:rPr>
          <w:color w:val="231F20"/>
          <w:spacing w:val="-6"/>
        </w:rPr>
        <w:t> </w:t>
      </w:r>
      <w:r>
        <w:rPr>
          <w:color w:val="231F20"/>
        </w:rPr>
        <w:t>VUCA</w:t>
      </w:r>
      <w:r>
        <w:rPr>
          <w:color w:val="231F20"/>
          <w:spacing w:val="-6"/>
        </w:rPr>
        <w:t> </w:t>
      </w:r>
      <w:r>
        <w:rPr>
          <w:color w:val="231F20"/>
        </w:rPr>
        <w:t>kavramı,</w:t>
      </w:r>
      <w:r>
        <w:rPr>
          <w:color w:val="231F20"/>
          <w:spacing w:val="-5"/>
        </w:rPr>
        <w:t> </w:t>
      </w:r>
      <w:r>
        <w:rPr>
          <w:color w:val="231F20"/>
        </w:rPr>
        <w:t>volatility</w:t>
      </w:r>
      <w:r>
        <w:rPr>
          <w:color w:val="231F20"/>
          <w:spacing w:val="-6"/>
        </w:rPr>
        <w:t> </w:t>
      </w:r>
      <w:r>
        <w:rPr>
          <w:color w:val="231F20"/>
        </w:rPr>
        <w:t>(değiş- kenlik), uncertainty (belirsizlik), complexity (karmaşıklık) ve ambiguity (muğlaklık) </w:t>
      </w:r>
      <w:r>
        <w:rPr>
          <w:color w:val="231F20"/>
          <w:spacing w:val="-3"/>
        </w:rPr>
        <w:t>olmak </w:t>
      </w:r>
      <w:r>
        <w:rPr>
          <w:color w:val="231F20"/>
        </w:rPr>
        <w:t>üzere İngilizce dört kelimenin birleşiminden oluşmaktadır (Wouter, 2019). Araştırmacıların genel koşullar ve durumların değişkenliğini, belirsizliğini, karmaşıklık ve muğlaklığını tanım- lamak için kullandığı VUCA, soğuk savaş esnasında askeri liderlerin karşılaştığı koşulları açıklamak için Amerika Birleşik Devletleri Ordusu Savaş Koleji tarafından da kullanılmıştır (Chauhan vd., 2020).</w:t>
      </w:r>
    </w:p>
    <w:p>
      <w:pPr>
        <w:pStyle w:val="BodyText"/>
        <w:spacing w:line="249" w:lineRule="auto" w:before="120"/>
        <w:ind w:left="252" w:right="248" w:firstLine="567"/>
        <w:jc w:val="both"/>
      </w:pPr>
      <w:r>
        <w:rPr>
          <w:color w:val="231F20"/>
        </w:rPr>
        <w:t>VUCA başlangıçta askeri çevrelerde yaygın kullanılmakla birlikte, zamanla kar amacı gütmeyen işletmelerden eğitim, finans ve siyaset alanlarına kadar geniş bir yelpazeye</w:t>
      </w:r>
      <w:r>
        <w:rPr>
          <w:color w:val="231F20"/>
          <w:spacing w:val="-32"/>
        </w:rPr>
        <w:t> </w:t>
      </w:r>
      <w:r>
        <w:rPr>
          <w:color w:val="231F20"/>
        </w:rPr>
        <w:t>ulaşmış- tır. Günümüz iş çevresinin maruz kaldığı koşullar ve etkenleri yansıtan bir kavramdır. Büyük- lüğü ve bulunduğu pazara bağlı olmaksızın tüm işletmelerin mevcut ve gelecekteki liderlik profilini</w:t>
      </w:r>
      <w:r>
        <w:rPr>
          <w:color w:val="231F20"/>
          <w:spacing w:val="-7"/>
        </w:rPr>
        <w:t> </w:t>
      </w:r>
      <w:r>
        <w:rPr>
          <w:color w:val="231F20"/>
        </w:rPr>
        <w:t>şekillendirmek</w:t>
      </w:r>
      <w:r>
        <w:rPr>
          <w:color w:val="231F20"/>
          <w:spacing w:val="-7"/>
        </w:rPr>
        <w:t> </w:t>
      </w:r>
      <w:r>
        <w:rPr>
          <w:color w:val="231F20"/>
        </w:rPr>
        <w:t>için</w:t>
      </w:r>
      <w:r>
        <w:rPr>
          <w:color w:val="231F20"/>
          <w:spacing w:val="-6"/>
        </w:rPr>
        <w:t> </w:t>
      </w:r>
      <w:r>
        <w:rPr>
          <w:color w:val="231F20"/>
        </w:rPr>
        <w:t>kullanılan</w:t>
      </w:r>
      <w:r>
        <w:rPr>
          <w:color w:val="231F20"/>
          <w:spacing w:val="-7"/>
        </w:rPr>
        <w:t> </w:t>
      </w:r>
      <w:r>
        <w:rPr>
          <w:color w:val="231F20"/>
        </w:rPr>
        <w:t>bir</w:t>
      </w:r>
      <w:r>
        <w:rPr>
          <w:color w:val="231F20"/>
          <w:spacing w:val="-7"/>
        </w:rPr>
        <w:t> </w:t>
      </w:r>
      <w:r>
        <w:rPr>
          <w:color w:val="231F20"/>
        </w:rPr>
        <w:t>21.</w:t>
      </w:r>
      <w:r>
        <w:rPr>
          <w:color w:val="231F20"/>
          <w:spacing w:val="-6"/>
        </w:rPr>
        <w:t> </w:t>
      </w:r>
      <w:r>
        <w:rPr>
          <w:color w:val="231F20"/>
        </w:rPr>
        <w:t>yüzyıl</w:t>
      </w:r>
      <w:r>
        <w:rPr>
          <w:color w:val="231F20"/>
          <w:spacing w:val="-7"/>
        </w:rPr>
        <w:t> </w:t>
      </w:r>
      <w:r>
        <w:rPr>
          <w:color w:val="231F20"/>
        </w:rPr>
        <w:t>çerçevesi</w:t>
      </w:r>
      <w:r>
        <w:rPr>
          <w:color w:val="231F20"/>
          <w:spacing w:val="-7"/>
        </w:rPr>
        <w:t> </w:t>
      </w:r>
      <w:r>
        <w:rPr>
          <w:color w:val="231F20"/>
        </w:rPr>
        <w:t>olarak</w:t>
      </w:r>
      <w:r>
        <w:rPr>
          <w:color w:val="231F20"/>
          <w:spacing w:val="-6"/>
        </w:rPr>
        <w:t> </w:t>
      </w:r>
      <w:r>
        <w:rPr>
          <w:color w:val="231F20"/>
        </w:rPr>
        <w:t>kabul</w:t>
      </w:r>
      <w:r>
        <w:rPr>
          <w:color w:val="231F20"/>
          <w:spacing w:val="-7"/>
        </w:rPr>
        <w:t> </w:t>
      </w:r>
      <w:r>
        <w:rPr>
          <w:color w:val="231F20"/>
        </w:rPr>
        <w:t>edilmiştir</w:t>
      </w:r>
      <w:r>
        <w:rPr>
          <w:color w:val="231F20"/>
          <w:spacing w:val="-7"/>
        </w:rPr>
        <w:t> </w:t>
      </w:r>
      <w:r>
        <w:rPr>
          <w:color w:val="231F20"/>
        </w:rPr>
        <w:t>(Stiehm, 2002; Johansen,</w:t>
      </w:r>
      <w:r>
        <w:rPr>
          <w:color w:val="231F20"/>
          <w:spacing w:val="-2"/>
        </w:rPr>
        <w:t> </w:t>
      </w:r>
      <w:r>
        <w:rPr>
          <w:color w:val="231F20"/>
        </w:rPr>
        <w:t>2007).</w:t>
      </w:r>
    </w:p>
    <w:p>
      <w:pPr>
        <w:pStyle w:val="BodyText"/>
        <w:spacing w:line="249" w:lineRule="auto" w:before="118"/>
        <w:ind w:left="252" w:right="249" w:firstLine="567"/>
        <w:jc w:val="both"/>
      </w:pPr>
      <w:r>
        <w:rPr>
          <w:color w:val="231F20"/>
        </w:rPr>
        <w:t>Volatility (değişkenlik) bir endüstri, pazar veya örgütteki değişimin niteliği, hızı, hac- mi, büyüklüğü ve dinamiğini ifade etmektedir. Uncertainty (belirsizlik) ile gelecekteki olay  ve sorunların öngörülemezliği kastedilmektedir. Complexity (karmaşıklık) dikkate alınması gereken</w:t>
      </w:r>
      <w:r>
        <w:rPr>
          <w:color w:val="231F20"/>
          <w:spacing w:val="-10"/>
        </w:rPr>
        <w:t> </w:t>
      </w:r>
      <w:r>
        <w:rPr>
          <w:color w:val="231F20"/>
        </w:rPr>
        <w:t>çeşitli</w:t>
      </w:r>
      <w:r>
        <w:rPr>
          <w:color w:val="231F20"/>
          <w:spacing w:val="-9"/>
        </w:rPr>
        <w:t> </w:t>
      </w:r>
      <w:r>
        <w:rPr>
          <w:color w:val="231F20"/>
        </w:rPr>
        <w:t>ve</w:t>
      </w:r>
      <w:r>
        <w:rPr>
          <w:color w:val="231F20"/>
          <w:spacing w:val="-10"/>
        </w:rPr>
        <w:t> </w:t>
      </w:r>
      <w:r>
        <w:rPr>
          <w:color w:val="231F20"/>
        </w:rPr>
        <w:t>katmanlı</w:t>
      </w:r>
      <w:r>
        <w:rPr>
          <w:color w:val="231F20"/>
          <w:spacing w:val="-9"/>
        </w:rPr>
        <w:t> </w:t>
      </w:r>
      <w:r>
        <w:rPr>
          <w:color w:val="231F20"/>
        </w:rPr>
        <w:t>olan</w:t>
      </w:r>
      <w:r>
        <w:rPr>
          <w:color w:val="231F20"/>
          <w:spacing w:val="-9"/>
        </w:rPr>
        <w:t> </w:t>
      </w:r>
      <w:r>
        <w:rPr>
          <w:color w:val="231F20"/>
        </w:rPr>
        <w:t>birbirine</w:t>
      </w:r>
      <w:r>
        <w:rPr>
          <w:color w:val="231F20"/>
          <w:spacing w:val="-10"/>
        </w:rPr>
        <w:t> </w:t>
      </w:r>
      <w:r>
        <w:rPr>
          <w:color w:val="231F20"/>
        </w:rPr>
        <w:t>bağımlı</w:t>
      </w:r>
      <w:r>
        <w:rPr>
          <w:color w:val="231F20"/>
          <w:spacing w:val="-9"/>
        </w:rPr>
        <w:t> </w:t>
      </w:r>
      <w:r>
        <w:rPr>
          <w:color w:val="231F20"/>
        </w:rPr>
        <w:t>çok</w:t>
      </w:r>
      <w:r>
        <w:rPr>
          <w:color w:val="231F20"/>
          <w:spacing w:val="-9"/>
        </w:rPr>
        <w:t> </w:t>
      </w:r>
      <w:r>
        <w:rPr>
          <w:color w:val="231F20"/>
        </w:rPr>
        <w:t>sayıda</w:t>
      </w:r>
      <w:r>
        <w:rPr>
          <w:color w:val="231F20"/>
          <w:spacing w:val="-10"/>
        </w:rPr>
        <w:t> </w:t>
      </w:r>
      <w:r>
        <w:rPr>
          <w:color w:val="231F20"/>
        </w:rPr>
        <w:t>faktörü</w:t>
      </w:r>
      <w:r>
        <w:rPr>
          <w:color w:val="231F20"/>
          <w:spacing w:val="-9"/>
        </w:rPr>
        <w:t> </w:t>
      </w:r>
      <w:r>
        <w:rPr>
          <w:color w:val="231F20"/>
        </w:rPr>
        <w:t>belirtmektedir.</w:t>
      </w:r>
      <w:r>
        <w:rPr>
          <w:color w:val="231F20"/>
          <w:spacing w:val="-9"/>
        </w:rPr>
        <w:t> </w:t>
      </w:r>
      <w:r>
        <w:rPr>
          <w:color w:val="231F20"/>
        </w:rPr>
        <w:t>Ambiguity (muğlaklık) ise olaylar hakkında gerçekliğin net olarak görülememesini ifade eder (Bartolo- meo, 2019).</w:t>
      </w:r>
    </w:p>
    <w:p>
      <w:pPr>
        <w:pStyle w:val="BodyText"/>
        <w:spacing w:line="249" w:lineRule="auto" w:before="118"/>
        <w:ind w:left="252" w:right="249" w:firstLine="567"/>
        <w:jc w:val="both"/>
      </w:pPr>
      <w:r>
        <w:rPr>
          <w:color w:val="231F20"/>
        </w:rPr>
        <w:t>VUCA’nın</w:t>
      </w:r>
      <w:r>
        <w:rPr>
          <w:color w:val="231F20"/>
          <w:spacing w:val="-9"/>
        </w:rPr>
        <w:t> </w:t>
      </w:r>
      <w:r>
        <w:rPr>
          <w:color w:val="231F20"/>
        </w:rPr>
        <w:t>genel</w:t>
      </w:r>
      <w:r>
        <w:rPr>
          <w:color w:val="231F20"/>
          <w:spacing w:val="-9"/>
        </w:rPr>
        <w:t> </w:t>
      </w:r>
      <w:r>
        <w:rPr>
          <w:color w:val="231F20"/>
        </w:rPr>
        <w:t>tanımını</w:t>
      </w:r>
      <w:r>
        <w:rPr>
          <w:color w:val="231F20"/>
          <w:spacing w:val="-8"/>
        </w:rPr>
        <w:t> </w:t>
      </w:r>
      <w:r>
        <w:rPr>
          <w:color w:val="231F20"/>
        </w:rPr>
        <w:t>en</w:t>
      </w:r>
      <w:r>
        <w:rPr>
          <w:color w:val="231F20"/>
          <w:spacing w:val="-9"/>
        </w:rPr>
        <w:t> </w:t>
      </w:r>
      <w:r>
        <w:rPr>
          <w:color w:val="231F20"/>
        </w:rPr>
        <w:t>yakın</w:t>
      </w:r>
      <w:r>
        <w:rPr>
          <w:color w:val="231F20"/>
          <w:spacing w:val="-9"/>
        </w:rPr>
        <w:t> </w:t>
      </w:r>
      <w:r>
        <w:rPr>
          <w:color w:val="231F20"/>
        </w:rPr>
        <w:t>temsil</w:t>
      </w:r>
      <w:r>
        <w:rPr>
          <w:color w:val="231F20"/>
          <w:spacing w:val="-8"/>
        </w:rPr>
        <w:t> </w:t>
      </w:r>
      <w:r>
        <w:rPr>
          <w:color w:val="231F20"/>
        </w:rPr>
        <w:t>eden</w:t>
      </w:r>
      <w:r>
        <w:rPr>
          <w:color w:val="231F20"/>
          <w:spacing w:val="-9"/>
        </w:rPr>
        <w:t> </w:t>
      </w:r>
      <w:r>
        <w:rPr>
          <w:color w:val="231F20"/>
        </w:rPr>
        <w:t>bileşen</w:t>
      </w:r>
      <w:r>
        <w:rPr>
          <w:color w:val="231F20"/>
          <w:spacing w:val="-8"/>
        </w:rPr>
        <w:t> </w:t>
      </w:r>
      <w:r>
        <w:rPr>
          <w:color w:val="231F20"/>
        </w:rPr>
        <w:t>olarak</w:t>
      </w:r>
      <w:r>
        <w:rPr>
          <w:color w:val="231F20"/>
          <w:spacing w:val="-9"/>
        </w:rPr>
        <w:t> </w:t>
      </w:r>
      <w:r>
        <w:rPr>
          <w:color w:val="231F20"/>
        </w:rPr>
        <w:t>değişkenlik,</w:t>
      </w:r>
      <w:r>
        <w:rPr>
          <w:color w:val="231F20"/>
          <w:spacing w:val="-9"/>
        </w:rPr>
        <w:t> </w:t>
      </w:r>
      <w:r>
        <w:rPr>
          <w:color w:val="231F20"/>
        </w:rPr>
        <w:t>çalışma</w:t>
      </w:r>
      <w:r>
        <w:rPr>
          <w:color w:val="231F20"/>
          <w:spacing w:val="-8"/>
        </w:rPr>
        <w:t> </w:t>
      </w:r>
      <w:r>
        <w:rPr>
          <w:color w:val="231F20"/>
        </w:rPr>
        <w:t>dün- yasında yeni bir kavram değildir. Daha önce dönemsel savaşlar, doğal afetler, salgın hastalık- lar ve şiddetli ekonomik krizler ile tetiklenerek gerçekleştiği bilinmektedir. Günümüzde ise küreselleşme, dijital ve sosyal medya teknolojileri, değişken pazarlarda üretim yapan</w:t>
      </w:r>
      <w:r>
        <w:rPr>
          <w:color w:val="231F20"/>
          <w:spacing w:val="-35"/>
        </w:rPr>
        <w:t> </w:t>
      </w:r>
      <w:r>
        <w:rPr>
          <w:color w:val="231F20"/>
        </w:rPr>
        <w:t>karşılıklı finansal bağımlılıklar ve sürekli değişen taleplere yol açan artan tüketici bilincinden beslen- mektedir (Bennet &amp; Lemoine, 2014; Heinonen vd., 2017; Horney &amp; O’Shea, 2015). Borsa dalgalanmaları, yaşam tarzı değişiklikleri, yenilenebilir enerji, değişen politika ve müşteri </w:t>
      </w:r>
      <w:r>
        <w:rPr>
          <w:color w:val="231F20"/>
          <w:spacing w:val="-3"/>
        </w:rPr>
        <w:t>ter- </w:t>
      </w:r>
      <w:r>
        <w:rPr>
          <w:color w:val="231F20"/>
        </w:rPr>
        <w:t>cihleri, emtia fiyatlandırması bu bileşene gösterilebilecek örnekler içerisinde yer almaktadır. Havayolu kuruluşları için jet yakıtı maliyetleri 21. yy. da oldukça değişkenlik göstermiştir. Beklenmedik olayların yerleşik bir rutini alt üst ettiği durumda değişimle karşı karşıya kalan bir yönetici, bu durumun fiyatlarda artış yaratıp yaratmayacağı; artış yaratacaksa fiyatların ne kadar yükseleceği ve yükselen fiyatların ne kadar süreceği gibi belirli soruları yanıtlamaya çalışır (Bennet &amp; Lemoine, 2014; Heinonen vd., 2017, Rimita,</w:t>
      </w:r>
      <w:r>
        <w:rPr>
          <w:color w:val="231F20"/>
          <w:spacing w:val="-3"/>
        </w:rPr>
        <w:t> </w:t>
      </w:r>
      <w:r>
        <w:rPr>
          <w:color w:val="231F20"/>
        </w:rPr>
        <w:t>2019).</w:t>
      </w:r>
    </w:p>
    <w:p>
      <w:pPr>
        <w:pStyle w:val="BodyText"/>
        <w:spacing w:line="249" w:lineRule="auto" w:before="124"/>
        <w:ind w:left="252" w:right="248" w:firstLine="567"/>
        <w:jc w:val="both"/>
      </w:pPr>
      <w:r>
        <w:rPr>
          <w:color w:val="231F20"/>
        </w:rPr>
        <w:t>VUCA</w:t>
      </w:r>
      <w:r>
        <w:rPr>
          <w:color w:val="231F20"/>
          <w:spacing w:val="-7"/>
        </w:rPr>
        <w:t> </w:t>
      </w:r>
      <w:r>
        <w:rPr>
          <w:color w:val="231F20"/>
        </w:rPr>
        <w:t>akroniminde</w:t>
      </w:r>
      <w:r>
        <w:rPr>
          <w:color w:val="231F20"/>
          <w:spacing w:val="-6"/>
        </w:rPr>
        <w:t> </w:t>
      </w:r>
      <w:r>
        <w:rPr>
          <w:color w:val="231F20"/>
        </w:rPr>
        <w:t>ikinci</w:t>
      </w:r>
      <w:r>
        <w:rPr>
          <w:color w:val="231F20"/>
          <w:spacing w:val="-7"/>
        </w:rPr>
        <w:t> </w:t>
      </w:r>
      <w:r>
        <w:rPr>
          <w:color w:val="231F20"/>
        </w:rPr>
        <w:t>bileşen</w:t>
      </w:r>
      <w:r>
        <w:rPr>
          <w:color w:val="231F20"/>
          <w:spacing w:val="-6"/>
        </w:rPr>
        <w:t> </w:t>
      </w:r>
      <w:r>
        <w:rPr>
          <w:color w:val="231F20"/>
        </w:rPr>
        <w:t>belirsizlik,</w:t>
      </w:r>
      <w:r>
        <w:rPr>
          <w:color w:val="231F20"/>
          <w:spacing w:val="-7"/>
        </w:rPr>
        <w:t> </w:t>
      </w:r>
      <w:r>
        <w:rPr>
          <w:color w:val="231F20"/>
        </w:rPr>
        <w:t>olaylardaki</w:t>
      </w:r>
      <w:r>
        <w:rPr>
          <w:color w:val="231F20"/>
          <w:spacing w:val="-6"/>
        </w:rPr>
        <w:t> </w:t>
      </w:r>
      <w:r>
        <w:rPr>
          <w:color w:val="231F20"/>
        </w:rPr>
        <w:t>öngörülemezliği</w:t>
      </w:r>
      <w:r>
        <w:rPr>
          <w:color w:val="231F20"/>
          <w:spacing w:val="-7"/>
        </w:rPr>
        <w:t> </w:t>
      </w:r>
      <w:r>
        <w:rPr>
          <w:color w:val="231F20"/>
        </w:rPr>
        <w:t>ifade</w:t>
      </w:r>
      <w:r>
        <w:rPr>
          <w:color w:val="231F20"/>
          <w:spacing w:val="-6"/>
        </w:rPr>
        <w:t> </w:t>
      </w:r>
      <w:r>
        <w:rPr>
          <w:color w:val="231F20"/>
        </w:rPr>
        <w:t>etmek- tedir (Horney vd., 2010; Wouter, 2019). Bir rakip tarafından daha üstün bir ürün teklifinin</w:t>
      </w:r>
      <w:r>
        <w:rPr>
          <w:color w:val="231F20"/>
          <w:spacing w:val="-36"/>
        </w:rPr>
        <w:t> </w:t>
      </w:r>
      <w:r>
        <w:rPr>
          <w:color w:val="231F20"/>
          <w:spacing w:val="-4"/>
        </w:rPr>
        <w:t>ani-</w:t>
      </w:r>
    </w:p>
    <w:p>
      <w:pPr>
        <w:spacing w:after="0" w:line="249" w:lineRule="auto"/>
        <w:jc w:val="both"/>
        <w:sectPr>
          <w:footerReference w:type="even" r:id="rId13"/>
          <w:footerReference w:type="default" r:id="rId14"/>
          <w:pgSz w:w="9530" w:h="13610"/>
          <w:pgMar w:footer="344" w:header="700" w:top="1060" w:bottom="540" w:left="740" w:right="740"/>
          <w:pgNumType w:start="1272"/>
        </w:sectPr>
      </w:pPr>
    </w:p>
    <w:p>
      <w:pPr>
        <w:pStyle w:val="BodyText"/>
      </w:pPr>
    </w:p>
    <w:p>
      <w:pPr>
        <w:pStyle w:val="BodyText"/>
        <w:spacing w:before="1"/>
      </w:pPr>
    </w:p>
    <w:p>
      <w:pPr>
        <w:pStyle w:val="BodyText"/>
        <w:spacing w:line="249" w:lineRule="auto" w:before="1"/>
        <w:ind w:left="252" w:right="249"/>
        <w:jc w:val="both"/>
      </w:pPr>
      <w:r>
        <w:rPr>
          <w:color w:val="231F20"/>
        </w:rPr>
        <w:t>den</w:t>
      </w:r>
      <w:r>
        <w:rPr>
          <w:color w:val="231F20"/>
          <w:spacing w:val="-8"/>
        </w:rPr>
        <w:t> </w:t>
      </w:r>
      <w:r>
        <w:rPr>
          <w:color w:val="231F20"/>
        </w:rPr>
        <w:t>piyasaya</w:t>
      </w:r>
      <w:r>
        <w:rPr>
          <w:color w:val="231F20"/>
          <w:spacing w:val="-8"/>
        </w:rPr>
        <w:t> </w:t>
      </w:r>
      <w:r>
        <w:rPr>
          <w:color w:val="231F20"/>
        </w:rPr>
        <w:t>sürülmesi</w:t>
      </w:r>
      <w:r>
        <w:rPr>
          <w:color w:val="231F20"/>
          <w:spacing w:val="-8"/>
        </w:rPr>
        <w:t> </w:t>
      </w:r>
      <w:r>
        <w:rPr>
          <w:color w:val="231F20"/>
        </w:rPr>
        <w:t>örnek</w:t>
      </w:r>
      <w:r>
        <w:rPr>
          <w:color w:val="231F20"/>
          <w:spacing w:val="-8"/>
        </w:rPr>
        <w:t> </w:t>
      </w:r>
      <w:r>
        <w:rPr>
          <w:color w:val="231F20"/>
        </w:rPr>
        <w:t>verilebilir</w:t>
      </w:r>
      <w:r>
        <w:rPr>
          <w:color w:val="231F20"/>
          <w:spacing w:val="-7"/>
        </w:rPr>
        <w:t> </w:t>
      </w:r>
      <w:r>
        <w:rPr>
          <w:color w:val="231F20"/>
        </w:rPr>
        <w:t>(Raghuramapatruni</w:t>
      </w:r>
      <w:r>
        <w:rPr>
          <w:color w:val="231F20"/>
          <w:spacing w:val="-8"/>
        </w:rPr>
        <w:t> </w:t>
      </w:r>
      <w:r>
        <w:rPr>
          <w:color w:val="231F20"/>
        </w:rPr>
        <w:t>&amp;</w:t>
      </w:r>
      <w:r>
        <w:rPr>
          <w:color w:val="231F20"/>
          <w:spacing w:val="-7"/>
        </w:rPr>
        <w:t> </w:t>
      </w:r>
      <w:r>
        <w:rPr>
          <w:color w:val="231F20"/>
        </w:rPr>
        <w:t>Kosuri,</w:t>
      </w:r>
      <w:r>
        <w:rPr>
          <w:color w:val="231F20"/>
          <w:spacing w:val="-8"/>
        </w:rPr>
        <w:t> </w:t>
      </w:r>
      <w:r>
        <w:rPr>
          <w:color w:val="231F20"/>
        </w:rPr>
        <w:t>2017).</w:t>
      </w:r>
      <w:r>
        <w:rPr>
          <w:color w:val="231F20"/>
          <w:spacing w:val="-8"/>
        </w:rPr>
        <w:t> </w:t>
      </w:r>
      <w:r>
        <w:rPr>
          <w:color w:val="231F20"/>
        </w:rPr>
        <w:t>Öngörülemezlik değişimin sonucu olabilir. Değişimler geçmişteki sorun ve olayların gelecekteki sonuçların öngörüleri olarak kullanılmasını zorlaştırmaktadır. Bu sebeple, liderlerin tahminde bulunması ve karar vermesi de zorlaşmaktadır (Lawrence, 2013; Kinsinger &amp; Walch,</w:t>
      </w:r>
      <w:r>
        <w:rPr>
          <w:color w:val="231F20"/>
          <w:spacing w:val="-4"/>
        </w:rPr>
        <w:t> </w:t>
      </w:r>
      <w:r>
        <w:rPr>
          <w:color w:val="231F20"/>
        </w:rPr>
        <w:t>2012).</w:t>
      </w:r>
    </w:p>
    <w:p>
      <w:pPr>
        <w:pStyle w:val="BodyText"/>
        <w:spacing w:line="249" w:lineRule="auto" w:before="116"/>
        <w:ind w:left="252" w:right="249" w:firstLine="567"/>
        <w:jc w:val="both"/>
      </w:pPr>
      <w:r>
        <w:rPr>
          <w:color w:val="231F20"/>
        </w:rPr>
        <w:t>Karmaşık bir durum birbirine bağlı birçok parça ile karakterize edilir. Yeni pazarla-   ra girilmesi, yeni dijital yöntemlere geçiş yapılması, alışılmadık ürünlerin sunulması, deği- şen düzenlemelerle mücadele edilmesi, siyasi istikrarsızlığa maruz kalınması ve daha pek   çok durumda karmaşıklıkla karşı karşıya kalınabilmektedir. Özellikle dış pazarlara girmek karmaşıklığı beraberinde getirmektedir. Karmaşıklık, değişkenlik ve belirsizlikten farklı bir durumdur. Karmaşıklığın doğasına ilişkin bazı bilgiler mevcuttur veya tahmin edilebilir. Bir işletmenin farklı bir ülkede iş yaparken karşılaştığı kanunlar, düzenlemeler, kültürel beklenti- ler ve siyasi iklimler karmaşık durumlardır, ancak öngörülemeyen bir değişkenlik söz konusu değildir (Bennet &amp; Lemoine, 2014; Raghuramapatruni &amp; Kosuri, 2017; Rimita,</w:t>
      </w:r>
      <w:r>
        <w:rPr>
          <w:color w:val="231F20"/>
          <w:spacing w:val="-4"/>
        </w:rPr>
        <w:t> </w:t>
      </w:r>
      <w:r>
        <w:rPr>
          <w:color w:val="231F20"/>
        </w:rPr>
        <w:t>2019).</w:t>
      </w:r>
    </w:p>
    <w:p>
      <w:pPr>
        <w:pStyle w:val="BodyText"/>
        <w:spacing w:line="249" w:lineRule="auto" w:before="121"/>
        <w:ind w:left="252" w:right="249" w:firstLine="567"/>
        <w:jc w:val="both"/>
      </w:pPr>
      <w:r>
        <w:rPr>
          <w:color w:val="231F20"/>
        </w:rPr>
        <w:t>Muğlaklık gerçek durum ve koşullardaki bulanıklık, bu durum ve koşullarla ilgili bil- gilerde netliğin olmaması şeklinde ifade edilmiştir. Sebep sonuç ilişkisinin tamamen belirsiz olduğu durumu ifade eder (Bennet &amp; Lemoine, 2014; Chakraborty, 2019). Bu noktada, belir- sizlik bileşeninden farklılık gösterir. Bazı araştırmacılar muğlaklığı diğer üç bileşenin sonucu olarak ifade etmiştir (Codreanu, 2016; Horney &amp; O’Shea, 2015; Johansen &amp; Euchner, 2013). Muğlaklığın yeni ve olağandışı durumlarda ortaya çıktığını belirten görüşler de mevcuttur (Bennett &amp; Lemoine, 2014; Cousins, 2018; Gilman, 2017; Heinonen vd., 2017). Muğlaklık yeni bir fırsat, pazar veya ürün etrafında oluştuğundan olayların arkasındaki nedenlerin (kim, ne, nerede, nasıl ve neden) ve sonuçların tespit edilmesi oldukça zordur (Bennett &amp; Lemoine, 2014; Sullivan, 2012; Lawrence, 2013).</w:t>
      </w:r>
    </w:p>
    <w:p>
      <w:pPr>
        <w:pStyle w:val="BodyText"/>
        <w:spacing w:before="5"/>
      </w:pPr>
    </w:p>
    <w:p>
      <w:pPr>
        <w:pStyle w:val="Heading1"/>
        <w:numPr>
          <w:ilvl w:val="1"/>
          <w:numId w:val="1"/>
        </w:numPr>
        <w:tabs>
          <w:tab w:pos="599" w:val="left" w:leader="none"/>
        </w:tabs>
        <w:spacing w:line="240" w:lineRule="auto" w:before="0" w:after="0"/>
        <w:ind w:left="598" w:right="0" w:hanging="347"/>
        <w:jc w:val="left"/>
      </w:pPr>
      <w:r>
        <w:rPr>
          <w:color w:val="034694"/>
        </w:rPr>
        <w:t>VUCA ile İlgili Yapılan</w:t>
      </w:r>
      <w:r>
        <w:rPr>
          <w:color w:val="034694"/>
          <w:spacing w:val="-5"/>
        </w:rPr>
        <w:t> </w:t>
      </w:r>
      <w:r>
        <w:rPr>
          <w:color w:val="034694"/>
        </w:rPr>
        <w:t>Araştırmalar</w:t>
      </w:r>
    </w:p>
    <w:p>
      <w:pPr>
        <w:pStyle w:val="BodyText"/>
        <w:spacing w:line="249" w:lineRule="auto" w:before="124"/>
        <w:ind w:left="252" w:right="249" w:firstLine="567"/>
        <w:jc w:val="both"/>
      </w:pPr>
      <w:r>
        <w:rPr>
          <w:color w:val="231F20"/>
        </w:rPr>
        <w:t>Alan yazındaki araştırmalara bakıldığında, VUCA kavramının ağırlıklı olarak liderlik ile birlikte ele alındığı görülmektedir (Johansen &amp; Euchner, 2013; Lawrence, 2013;</w:t>
      </w:r>
      <w:r>
        <w:rPr>
          <w:color w:val="231F20"/>
          <w:spacing w:val="-35"/>
        </w:rPr>
        <w:t> </w:t>
      </w:r>
      <w:r>
        <w:rPr>
          <w:color w:val="231F20"/>
        </w:rPr>
        <w:t>Rodriguez &amp; Rodriguez, 2015; Bernstein, 2014; Codreanu, 2016; Antonacopoulou, 2018; Sarkar, 2016; Baran &amp; Woznyj, 2020; Bywater &amp; Lewis, 2019; Vijaybaskar,</w:t>
      </w:r>
      <w:r>
        <w:rPr>
          <w:color w:val="231F20"/>
          <w:spacing w:val="-4"/>
        </w:rPr>
        <w:t> </w:t>
      </w:r>
      <w:r>
        <w:rPr>
          <w:color w:val="231F20"/>
        </w:rPr>
        <w:t>2020).</w:t>
      </w:r>
    </w:p>
    <w:p>
      <w:pPr>
        <w:pStyle w:val="BodyText"/>
        <w:spacing w:line="249" w:lineRule="auto" w:before="116"/>
        <w:ind w:left="252" w:right="248" w:firstLine="567"/>
        <w:jc w:val="both"/>
      </w:pPr>
      <w:r>
        <w:rPr>
          <w:color w:val="231F20"/>
        </w:rPr>
        <w:t>Johansen &amp; Euchner (2013) VUCA dünyasında yönelinmesi gereken temel liderlik becerilerini</w:t>
      </w:r>
      <w:r>
        <w:rPr>
          <w:color w:val="231F20"/>
          <w:spacing w:val="-9"/>
        </w:rPr>
        <w:t> </w:t>
      </w:r>
      <w:r>
        <w:rPr>
          <w:color w:val="231F20"/>
        </w:rPr>
        <w:t>açıklık,</w:t>
      </w:r>
      <w:r>
        <w:rPr>
          <w:color w:val="231F20"/>
          <w:spacing w:val="-8"/>
        </w:rPr>
        <w:t> </w:t>
      </w:r>
      <w:r>
        <w:rPr>
          <w:color w:val="231F20"/>
        </w:rPr>
        <w:t>esneklik</w:t>
      </w:r>
      <w:r>
        <w:rPr>
          <w:color w:val="231F20"/>
          <w:spacing w:val="-7"/>
        </w:rPr>
        <w:t> </w:t>
      </w:r>
      <w:r>
        <w:rPr>
          <w:color w:val="231F20"/>
        </w:rPr>
        <w:t>ve</w:t>
      </w:r>
      <w:r>
        <w:rPr>
          <w:color w:val="231F20"/>
          <w:spacing w:val="-8"/>
        </w:rPr>
        <w:t> </w:t>
      </w:r>
      <w:r>
        <w:rPr>
          <w:color w:val="231F20"/>
        </w:rPr>
        <w:t>sürekli</w:t>
      </w:r>
      <w:r>
        <w:rPr>
          <w:color w:val="231F20"/>
          <w:spacing w:val="-8"/>
        </w:rPr>
        <w:t> </w:t>
      </w:r>
      <w:r>
        <w:rPr>
          <w:color w:val="231F20"/>
        </w:rPr>
        <w:t>öğrenme</w:t>
      </w:r>
      <w:r>
        <w:rPr>
          <w:color w:val="231F20"/>
          <w:spacing w:val="-8"/>
        </w:rPr>
        <w:t> </w:t>
      </w:r>
      <w:r>
        <w:rPr>
          <w:color w:val="231F20"/>
        </w:rPr>
        <w:t>olarak</w:t>
      </w:r>
      <w:r>
        <w:rPr>
          <w:color w:val="231F20"/>
          <w:spacing w:val="-7"/>
        </w:rPr>
        <w:t> </w:t>
      </w:r>
      <w:r>
        <w:rPr>
          <w:color w:val="231F20"/>
        </w:rPr>
        <w:t>belirtmiştir.</w:t>
      </w:r>
      <w:r>
        <w:rPr>
          <w:color w:val="231F20"/>
          <w:spacing w:val="-9"/>
        </w:rPr>
        <w:t> </w:t>
      </w:r>
      <w:r>
        <w:rPr>
          <w:color w:val="231F20"/>
        </w:rPr>
        <w:t>Lawrence</w:t>
      </w:r>
      <w:r>
        <w:rPr>
          <w:color w:val="231F20"/>
          <w:spacing w:val="-7"/>
        </w:rPr>
        <w:t> </w:t>
      </w:r>
      <w:r>
        <w:rPr>
          <w:color w:val="231F20"/>
        </w:rPr>
        <w:t>(2013)</w:t>
      </w:r>
      <w:r>
        <w:rPr>
          <w:color w:val="231F20"/>
          <w:spacing w:val="-8"/>
        </w:rPr>
        <w:t> </w:t>
      </w:r>
      <w:r>
        <w:rPr>
          <w:color w:val="231F20"/>
        </w:rPr>
        <w:t>günümüz iş dünyasının yeni normu olan VUCA’nın liderlik becerilerini önemli ölçüde değiştirdiğini ifade etmiştir. Araştırma sonucunda, VUCA dünyasında başarı elde edilmesi için vizyoner, çevik, açık ve anlayış sahibi liderlere ihtiyaç olduğu belirtilmiştir. Bernstein (2014) doktora çalışmasında, en önemli liderlik becerilerini açıklık, bir şeyler yapma içgüdüsü ve şeffaflık olarak ortaya koymuştur. Rodriguez &amp; Rodriguez (2015) VUCA dünyası için Bulut liderliği (Cloud</w:t>
      </w:r>
      <w:r>
        <w:rPr>
          <w:color w:val="231F20"/>
          <w:spacing w:val="-10"/>
        </w:rPr>
        <w:t> </w:t>
      </w:r>
      <w:r>
        <w:rPr>
          <w:color w:val="231F20"/>
        </w:rPr>
        <w:t>leadership)</w:t>
      </w:r>
      <w:r>
        <w:rPr>
          <w:color w:val="231F20"/>
          <w:spacing w:val="-9"/>
        </w:rPr>
        <w:t> </w:t>
      </w:r>
      <w:r>
        <w:rPr>
          <w:color w:val="231F20"/>
        </w:rPr>
        <w:t>tanımlamıştır.</w:t>
      </w:r>
      <w:r>
        <w:rPr>
          <w:color w:val="231F20"/>
          <w:spacing w:val="-9"/>
        </w:rPr>
        <w:t> </w:t>
      </w:r>
      <w:r>
        <w:rPr>
          <w:color w:val="231F20"/>
        </w:rPr>
        <w:t>Bu</w:t>
      </w:r>
      <w:r>
        <w:rPr>
          <w:color w:val="231F20"/>
          <w:spacing w:val="-9"/>
        </w:rPr>
        <w:t> </w:t>
      </w:r>
      <w:r>
        <w:rPr>
          <w:color w:val="231F20"/>
        </w:rPr>
        <w:t>lider</w:t>
      </w:r>
      <w:r>
        <w:rPr>
          <w:color w:val="231F20"/>
          <w:spacing w:val="-9"/>
        </w:rPr>
        <w:t> </w:t>
      </w:r>
      <w:r>
        <w:rPr>
          <w:color w:val="231F20"/>
        </w:rPr>
        <w:t>her</w:t>
      </w:r>
      <w:r>
        <w:rPr>
          <w:color w:val="231F20"/>
          <w:spacing w:val="-9"/>
        </w:rPr>
        <w:t> </w:t>
      </w:r>
      <w:r>
        <w:rPr>
          <w:color w:val="231F20"/>
        </w:rPr>
        <w:t>bireydeki</w:t>
      </w:r>
      <w:r>
        <w:rPr>
          <w:color w:val="231F20"/>
          <w:spacing w:val="-9"/>
        </w:rPr>
        <w:t> </w:t>
      </w:r>
      <w:r>
        <w:rPr>
          <w:color w:val="231F20"/>
        </w:rPr>
        <w:t>olumlu</w:t>
      </w:r>
      <w:r>
        <w:rPr>
          <w:color w:val="231F20"/>
          <w:spacing w:val="-10"/>
        </w:rPr>
        <w:t> </w:t>
      </w:r>
      <w:r>
        <w:rPr>
          <w:color w:val="231F20"/>
        </w:rPr>
        <w:t>yönü</w:t>
      </w:r>
      <w:r>
        <w:rPr>
          <w:color w:val="231F20"/>
          <w:spacing w:val="-9"/>
        </w:rPr>
        <w:t> </w:t>
      </w:r>
      <w:r>
        <w:rPr>
          <w:color w:val="231F20"/>
        </w:rPr>
        <w:t>ortaya</w:t>
      </w:r>
      <w:r>
        <w:rPr>
          <w:color w:val="231F20"/>
          <w:spacing w:val="-9"/>
        </w:rPr>
        <w:t> </w:t>
      </w:r>
      <w:r>
        <w:rPr>
          <w:color w:val="231F20"/>
        </w:rPr>
        <w:t>çıkarmaya</w:t>
      </w:r>
      <w:r>
        <w:rPr>
          <w:color w:val="231F20"/>
          <w:spacing w:val="-9"/>
        </w:rPr>
        <w:t> </w:t>
      </w:r>
      <w:r>
        <w:rPr>
          <w:color w:val="231F20"/>
        </w:rPr>
        <w:t>çalışan, mümkün</w:t>
      </w:r>
      <w:r>
        <w:rPr>
          <w:color w:val="231F20"/>
          <w:spacing w:val="-8"/>
        </w:rPr>
        <w:t> </w:t>
      </w:r>
      <w:r>
        <w:rPr>
          <w:color w:val="231F20"/>
        </w:rPr>
        <w:t>olan</w:t>
      </w:r>
      <w:r>
        <w:rPr>
          <w:color w:val="231F20"/>
          <w:spacing w:val="-7"/>
        </w:rPr>
        <w:t> </w:t>
      </w:r>
      <w:r>
        <w:rPr>
          <w:color w:val="231F20"/>
        </w:rPr>
        <w:t>en</w:t>
      </w:r>
      <w:r>
        <w:rPr>
          <w:color w:val="231F20"/>
          <w:spacing w:val="-7"/>
        </w:rPr>
        <w:t> </w:t>
      </w:r>
      <w:r>
        <w:rPr>
          <w:color w:val="231F20"/>
        </w:rPr>
        <w:t>iyi</w:t>
      </w:r>
      <w:r>
        <w:rPr>
          <w:color w:val="231F20"/>
          <w:spacing w:val="-8"/>
        </w:rPr>
        <w:t> </w:t>
      </w:r>
      <w:r>
        <w:rPr>
          <w:color w:val="231F20"/>
        </w:rPr>
        <w:t>çözümleri</w:t>
      </w:r>
      <w:r>
        <w:rPr>
          <w:color w:val="231F20"/>
          <w:spacing w:val="-7"/>
        </w:rPr>
        <w:t> </w:t>
      </w:r>
      <w:r>
        <w:rPr>
          <w:color w:val="231F20"/>
        </w:rPr>
        <w:t>arayan</w:t>
      </w:r>
      <w:r>
        <w:rPr>
          <w:color w:val="231F20"/>
          <w:spacing w:val="-7"/>
        </w:rPr>
        <w:t> </w:t>
      </w:r>
      <w:r>
        <w:rPr>
          <w:color w:val="231F20"/>
        </w:rPr>
        <w:t>bir</w:t>
      </w:r>
      <w:r>
        <w:rPr>
          <w:color w:val="231F20"/>
          <w:spacing w:val="-8"/>
        </w:rPr>
        <w:t> </w:t>
      </w:r>
      <w:r>
        <w:rPr>
          <w:color w:val="231F20"/>
        </w:rPr>
        <w:t>lider</w:t>
      </w:r>
      <w:r>
        <w:rPr>
          <w:color w:val="231F20"/>
          <w:spacing w:val="-7"/>
        </w:rPr>
        <w:t> </w:t>
      </w:r>
      <w:r>
        <w:rPr>
          <w:color w:val="231F20"/>
        </w:rPr>
        <w:t>olarak</w:t>
      </w:r>
      <w:r>
        <w:rPr>
          <w:color w:val="231F20"/>
          <w:spacing w:val="-7"/>
        </w:rPr>
        <w:t> </w:t>
      </w:r>
      <w:r>
        <w:rPr>
          <w:color w:val="231F20"/>
        </w:rPr>
        <w:t>ifade</w:t>
      </w:r>
      <w:r>
        <w:rPr>
          <w:color w:val="231F20"/>
          <w:spacing w:val="-7"/>
        </w:rPr>
        <w:t> </w:t>
      </w:r>
      <w:r>
        <w:rPr>
          <w:color w:val="231F20"/>
        </w:rPr>
        <w:t>edilmiştir.</w:t>
      </w:r>
      <w:r>
        <w:rPr>
          <w:color w:val="231F20"/>
          <w:spacing w:val="-8"/>
        </w:rPr>
        <w:t> </w:t>
      </w:r>
      <w:r>
        <w:rPr>
          <w:color w:val="231F20"/>
        </w:rPr>
        <w:t>Codreanu</w:t>
      </w:r>
      <w:r>
        <w:rPr>
          <w:color w:val="231F20"/>
          <w:spacing w:val="-7"/>
        </w:rPr>
        <w:t> </w:t>
      </w:r>
      <w:r>
        <w:rPr>
          <w:color w:val="231F20"/>
        </w:rPr>
        <w:t>(2016)</w:t>
      </w:r>
      <w:r>
        <w:rPr>
          <w:color w:val="231F20"/>
          <w:spacing w:val="-7"/>
        </w:rPr>
        <w:t> </w:t>
      </w:r>
      <w:r>
        <w:rPr>
          <w:color w:val="231F20"/>
        </w:rPr>
        <w:t>VUCA dünyasında farkındalık ve uyumluluğun önemini vurgulamış ve üç ilke ortaya koymuştur. Bu ilkeler karar verme sürecinde içgörülere güvenmek, faaliyetlerde hesap verilebilir olmak ve örnek davranış teşkil ederek astların izlemesini sağlamak olarak belirtilmiştir. Sarkar (2016) ise sorumlu ve duyarlı liderlerin önemine vurgu</w:t>
      </w:r>
      <w:r>
        <w:rPr>
          <w:color w:val="231F20"/>
          <w:spacing w:val="-2"/>
        </w:rPr>
        <w:t> </w:t>
      </w:r>
      <w:r>
        <w:rPr>
          <w:color w:val="231F20"/>
        </w:rPr>
        <w:t>yapmıştır.</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BodyText"/>
        <w:spacing w:line="249" w:lineRule="auto" w:before="1"/>
        <w:ind w:left="252" w:right="248" w:firstLine="567"/>
        <w:jc w:val="both"/>
      </w:pPr>
      <w:r>
        <w:rPr>
          <w:color w:val="231F20"/>
        </w:rPr>
        <w:t>Antonacopoulou (2018) VUCA ortamında başarının öğrenen organizasyonlarla sağla- nacağını ve öğrenen liderlere ihtiyaç olduğunu belirtmiştir. Hayward (2018) VUCA ortamının çevik çalışma yöntemlerini gerektirdiğini ortaya savunmuştur. Bywater &amp; Lewis (2019) deği- şim ortamlarındaki liderlik yetkinliklerini küresel bakış açısına sahip olma, çatışmayı yöne- tebilme, güven aşılayabilme, ikna edebilme, iletişim ağları kurabilme, dayanıklı olma, eylem odaklı olma, muğlaklıkta yönetebilme, sonuca yönlendirebilme, hesap verilebilirliği sağlaya- bilme, iş süreçlerini optimize edebilme olarak belirtmiştir. Yurdasever (2019) doktora çalış- masında, VUCA dünyasında yeni liderlik becerilerine sahip olan yöneticilerin iş ortamındaki stresten daha az etkilendiğini tespit etmiştir.</w:t>
      </w:r>
    </w:p>
    <w:p>
      <w:pPr>
        <w:pStyle w:val="BodyText"/>
        <w:spacing w:line="249" w:lineRule="auto" w:before="120"/>
        <w:ind w:left="252" w:right="248" w:firstLine="567"/>
        <w:jc w:val="both"/>
      </w:pPr>
      <w:r>
        <w:rPr>
          <w:color w:val="231F20"/>
        </w:rPr>
        <w:t>Baran</w:t>
      </w:r>
      <w:r>
        <w:rPr>
          <w:color w:val="231F20"/>
          <w:spacing w:val="-8"/>
        </w:rPr>
        <w:t> </w:t>
      </w:r>
      <w:r>
        <w:rPr>
          <w:color w:val="231F20"/>
        </w:rPr>
        <w:t>&amp;</w:t>
      </w:r>
      <w:r>
        <w:rPr>
          <w:color w:val="231F20"/>
          <w:spacing w:val="-7"/>
        </w:rPr>
        <w:t> </w:t>
      </w:r>
      <w:r>
        <w:rPr>
          <w:color w:val="231F20"/>
        </w:rPr>
        <w:t>Woznyj</w:t>
      </w:r>
      <w:r>
        <w:rPr>
          <w:color w:val="231F20"/>
          <w:spacing w:val="-7"/>
        </w:rPr>
        <w:t> </w:t>
      </w:r>
      <w:r>
        <w:rPr>
          <w:color w:val="231F20"/>
        </w:rPr>
        <w:t>(2020)</w:t>
      </w:r>
      <w:r>
        <w:rPr>
          <w:color w:val="231F20"/>
          <w:spacing w:val="-7"/>
        </w:rPr>
        <w:t> </w:t>
      </w:r>
      <w:r>
        <w:rPr>
          <w:color w:val="231F20"/>
        </w:rPr>
        <w:t>VUCA</w:t>
      </w:r>
      <w:r>
        <w:rPr>
          <w:color w:val="231F20"/>
          <w:spacing w:val="-8"/>
        </w:rPr>
        <w:t> </w:t>
      </w:r>
      <w:r>
        <w:rPr>
          <w:color w:val="231F20"/>
        </w:rPr>
        <w:t>dünyasına</w:t>
      </w:r>
      <w:r>
        <w:rPr>
          <w:color w:val="231F20"/>
          <w:spacing w:val="-7"/>
        </w:rPr>
        <w:t> </w:t>
      </w:r>
      <w:r>
        <w:rPr>
          <w:color w:val="231F20"/>
        </w:rPr>
        <w:t>çözüm</w:t>
      </w:r>
      <w:r>
        <w:rPr>
          <w:color w:val="231F20"/>
          <w:spacing w:val="-7"/>
        </w:rPr>
        <w:t> </w:t>
      </w:r>
      <w:r>
        <w:rPr>
          <w:color w:val="231F20"/>
        </w:rPr>
        <w:t>önerisi</w:t>
      </w:r>
      <w:r>
        <w:rPr>
          <w:color w:val="231F20"/>
          <w:spacing w:val="-7"/>
        </w:rPr>
        <w:t> </w:t>
      </w:r>
      <w:r>
        <w:rPr>
          <w:color w:val="231F20"/>
        </w:rPr>
        <w:t>olarak</w:t>
      </w:r>
      <w:r>
        <w:rPr>
          <w:color w:val="231F20"/>
          <w:spacing w:val="-8"/>
        </w:rPr>
        <w:t> </w:t>
      </w:r>
      <w:r>
        <w:rPr>
          <w:color w:val="231F20"/>
        </w:rPr>
        <w:t>bir</w:t>
      </w:r>
      <w:r>
        <w:rPr>
          <w:color w:val="231F20"/>
          <w:spacing w:val="-7"/>
        </w:rPr>
        <w:t> </w:t>
      </w:r>
      <w:r>
        <w:rPr>
          <w:color w:val="231F20"/>
        </w:rPr>
        <w:t>kişinin,</w:t>
      </w:r>
      <w:r>
        <w:rPr>
          <w:color w:val="231F20"/>
          <w:spacing w:val="-7"/>
        </w:rPr>
        <w:t> </w:t>
      </w:r>
      <w:r>
        <w:rPr>
          <w:color w:val="231F20"/>
        </w:rPr>
        <w:t>ekibin</w:t>
      </w:r>
      <w:r>
        <w:rPr>
          <w:color w:val="231F20"/>
          <w:spacing w:val="-7"/>
        </w:rPr>
        <w:t> </w:t>
      </w:r>
      <w:r>
        <w:rPr>
          <w:color w:val="231F20"/>
        </w:rPr>
        <w:t>veya organizasyonun değişimi algılama ve hızla tepki verme yeteneği olarak ifade edilen çevikliği sunmuştur. Çevikliği arttırmak için bir liderin kontrol listesinde yer alması gereken yedi kate- gori belirtilmiştir. Bu kategoriler iletişim ve şeffaflık, bilgi paylaşımı ve ekip çalışması, çevik davranışa</w:t>
      </w:r>
      <w:r>
        <w:rPr>
          <w:color w:val="231F20"/>
          <w:spacing w:val="-10"/>
        </w:rPr>
        <w:t> </w:t>
      </w:r>
      <w:r>
        <w:rPr>
          <w:color w:val="231F20"/>
        </w:rPr>
        <w:t>teşvik</w:t>
      </w:r>
      <w:r>
        <w:rPr>
          <w:color w:val="231F20"/>
          <w:spacing w:val="-10"/>
        </w:rPr>
        <w:t> </w:t>
      </w:r>
      <w:r>
        <w:rPr>
          <w:color w:val="231F20"/>
        </w:rPr>
        <w:t>etmek,</w:t>
      </w:r>
      <w:r>
        <w:rPr>
          <w:color w:val="231F20"/>
          <w:spacing w:val="-9"/>
        </w:rPr>
        <w:t> </w:t>
      </w:r>
      <w:r>
        <w:rPr>
          <w:color w:val="231F20"/>
        </w:rPr>
        <w:t>sürekli</w:t>
      </w:r>
      <w:r>
        <w:rPr>
          <w:color w:val="231F20"/>
          <w:spacing w:val="-10"/>
        </w:rPr>
        <w:t> </w:t>
      </w:r>
      <w:r>
        <w:rPr>
          <w:color w:val="231F20"/>
        </w:rPr>
        <w:t>iyileştirme</w:t>
      </w:r>
      <w:r>
        <w:rPr>
          <w:color w:val="231F20"/>
          <w:spacing w:val="-9"/>
        </w:rPr>
        <w:t> </w:t>
      </w:r>
      <w:r>
        <w:rPr>
          <w:color w:val="231F20"/>
        </w:rPr>
        <w:t>ve</w:t>
      </w:r>
      <w:r>
        <w:rPr>
          <w:color w:val="231F20"/>
          <w:spacing w:val="-10"/>
        </w:rPr>
        <w:t> </w:t>
      </w:r>
      <w:r>
        <w:rPr>
          <w:color w:val="231F20"/>
        </w:rPr>
        <w:t>öğrenme,</w:t>
      </w:r>
      <w:r>
        <w:rPr>
          <w:color w:val="231F20"/>
          <w:spacing w:val="-9"/>
        </w:rPr>
        <w:t> </w:t>
      </w:r>
      <w:r>
        <w:rPr>
          <w:color w:val="231F20"/>
        </w:rPr>
        <w:t>müşteri</w:t>
      </w:r>
      <w:r>
        <w:rPr>
          <w:color w:val="231F20"/>
          <w:spacing w:val="-10"/>
        </w:rPr>
        <w:t> </w:t>
      </w:r>
      <w:r>
        <w:rPr>
          <w:color w:val="231F20"/>
        </w:rPr>
        <w:t>odaklılık,</w:t>
      </w:r>
      <w:r>
        <w:rPr>
          <w:color w:val="231F20"/>
          <w:spacing w:val="-9"/>
        </w:rPr>
        <w:t> </w:t>
      </w:r>
      <w:r>
        <w:rPr>
          <w:color w:val="231F20"/>
        </w:rPr>
        <w:t>liderlik</w:t>
      </w:r>
      <w:r>
        <w:rPr>
          <w:color w:val="231F20"/>
          <w:spacing w:val="-10"/>
        </w:rPr>
        <w:t> </w:t>
      </w:r>
      <w:r>
        <w:rPr>
          <w:color w:val="231F20"/>
        </w:rPr>
        <w:t>ve</w:t>
      </w:r>
      <w:r>
        <w:rPr>
          <w:color w:val="231F20"/>
          <w:spacing w:val="-10"/>
        </w:rPr>
        <w:t> </w:t>
      </w:r>
      <w:r>
        <w:rPr>
          <w:color w:val="231F20"/>
        </w:rPr>
        <w:t>rol</w:t>
      </w:r>
      <w:r>
        <w:rPr>
          <w:color w:val="231F20"/>
          <w:spacing w:val="-9"/>
        </w:rPr>
        <w:t> </w:t>
      </w:r>
      <w:r>
        <w:rPr>
          <w:color w:val="231F20"/>
        </w:rPr>
        <w:t>model- leme, stratejik uyum ve yetenek yönetimi olarak ifade edilmiştir. Akkaya’nın (2020) araştırma sonuçlarına</w:t>
      </w:r>
      <w:r>
        <w:rPr>
          <w:color w:val="231F20"/>
          <w:spacing w:val="-6"/>
        </w:rPr>
        <w:t> </w:t>
      </w:r>
      <w:r>
        <w:rPr>
          <w:color w:val="231F20"/>
        </w:rPr>
        <w:t>göre,</w:t>
      </w:r>
      <w:r>
        <w:rPr>
          <w:color w:val="231F20"/>
          <w:spacing w:val="-6"/>
        </w:rPr>
        <w:t> </w:t>
      </w:r>
      <w:r>
        <w:rPr>
          <w:color w:val="231F20"/>
        </w:rPr>
        <w:t>çevik</w:t>
      </w:r>
      <w:r>
        <w:rPr>
          <w:color w:val="231F20"/>
          <w:spacing w:val="-6"/>
        </w:rPr>
        <w:t> </w:t>
      </w:r>
      <w:r>
        <w:rPr>
          <w:color w:val="231F20"/>
        </w:rPr>
        <w:t>ve</w:t>
      </w:r>
      <w:r>
        <w:rPr>
          <w:color w:val="231F20"/>
          <w:spacing w:val="-6"/>
        </w:rPr>
        <w:t> </w:t>
      </w:r>
      <w:r>
        <w:rPr>
          <w:color w:val="231F20"/>
        </w:rPr>
        <w:t>dönüştürücü</w:t>
      </w:r>
      <w:r>
        <w:rPr>
          <w:color w:val="231F20"/>
          <w:spacing w:val="-6"/>
        </w:rPr>
        <w:t> </w:t>
      </w:r>
      <w:r>
        <w:rPr>
          <w:color w:val="231F20"/>
        </w:rPr>
        <w:t>liderler</w:t>
      </w:r>
      <w:r>
        <w:rPr>
          <w:color w:val="231F20"/>
          <w:spacing w:val="-6"/>
        </w:rPr>
        <w:t> </w:t>
      </w:r>
      <w:r>
        <w:rPr>
          <w:color w:val="231F20"/>
        </w:rPr>
        <w:t>ilham</w:t>
      </w:r>
      <w:r>
        <w:rPr>
          <w:color w:val="231F20"/>
          <w:spacing w:val="-6"/>
        </w:rPr>
        <w:t> </w:t>
      </w:r>
      <w:r>
        <w:rPr>
          <w:color w:val="231F20"/>
        </w:rPr>
        <w:t>verici</w:t>
      </w:r>
      <w:r>
        <w:rPr>
          <w:color w:val="231F20"/>
          <w:spacing w:val="-6"/>
        </w:rPr>
        <w:t> </w:t>
      </w:r>
      <w:r>
        <w:rPr>
          <w:color w:val="231F20"/>
        </w:rPr>
        <w:t>bir</w:t>
      </w:r>
      <w:r>
        <w:rPr>
          <w:color w:val="231F20"/>
          <w:spacing w:val="-6"/>
        </w:rPr>
        <w:t> </w:t>
      </w:r>
      <w:r>
        <w:rPr>
          <w:color w:val="231F20"/>
        </w:rPr>
        <w:t>örgütsel</w:t>
      </w:r>
      <w:r>
        <w:rPr>
          <w:color w:val="231F20"/>
          <w:spacing w:val="-5"/>
        </w:rPr>
        <w:t> </w:t>
      </w:r>
      <w:r>
        <w:rPr>
          <w:color w:val="231F20"/>
        </w:rPr>
        <w:t>atmosfer</w:t>
      </w:r>
      <w:r>
        <w:rPr>
          <w:color w:val="231F20"/>
          <w:spacing w:val="-6"/>
        </w:rPr>
        <w:t> </w:t>
      </w:r>
      <w:r>
        <w:rPr>
          <w:color w:val="231F20"/>
        </w:rPr>
        <w:t>yaratarak</w:t>
      </w:r>
      <w:r>
        <w:rPr>
          <w:color w:val="231F20"/>
          <w:spacing w:val="-6"/>
        </w:rPr>
        <w:t> </w:t>
      </w:r>
      <w:r>
        <w:rPr>
          <w:color w:val="231F20"/>
        </w:rPr>
        <w:t>fir- maları</w:t>
      </w:r>
      <w:r>
        <w:rPr>
          <w:color w:val="231F20"/>
          <w:spacing w:val="-9"/>
        </w:rPr>
        <w:t> </w:t>
      </w:r>
      <w:r>
        <w:rPr>
          <w:color w:val="231F20"/>
        </w:rPr>
        <w:t>geliştirebilecektir.</w:t>
      </w:r>
      <w:r>
        <w:rPr>
          <w:color w:val="231F20"/>
          <w:spacing w:val="-8"/>
        </w:rPr>
        <w:t> </w:t>
      </w:r>
      <w:r>
        <w:rPr>
          <w:color w:val="231F20"/>
        </w:rPr>
        <w:t>Cinnioğlu</w:t>
      </w:r>
      <w:r>
        <w:rPr>
          <w:color w:val="231F20"/>
          <w:spacing w:val="-8"/>
        </w:rPr>
        <w:t> </w:t>
      </w:r>
      <w:r>
        <w:rPr>
          <w:color w:val="231F20"/>
        </w:rPr>
        <w:t>’nun</w:t>
      </w:r>
      <w:r>
        <w:rPr>
          <w:color w:val="231F20"/>
          <w:spacing w:val="-8"/>
        </w:rPr>
        <w:t> </w:t>
      </w:r>
      <w:r>
        <w:rPr>
          <w:color w:val="231F20"/>
        </w:rPr>
        <w:t>(2020)</w:t>
      </w:r>
      <w:r>
        <w:rPr>
          <w:color w:val="231F20"/>
          <w:spacing w:val="-8"/>
        </w:rPr>
        <w:t> </w:t>
      </w:r>
      <w:r>
        <w:rPr>
          <w:color w:val="231F20"/>
        </w:rPr>
        <w:t>araştırmasında,</w:t>
      </w:r>
      <w:r>
        <w:rPr>
          <w:color w:val="231F20"/>
          <w:spacing w:val="-8"/>
        </w:rPr>
        <w:t> </w:t>
      </w:r>
      <w:r>
        <w:rPr>
          <w:color w:val="231F20"/>
        </w:rPr>
        <w:t>Endüstri</w:t>
      </w:r>
      <w:r>
        <w:rPr>
          <w:color w:val="231F20"/>
          <w:spacing w:val="-8"/>
        </w:rPr>
        <w:t> </w:t>
      </w:r>
      <w:r>
        <w:rPr>
          <w:color w:val="231F20"/>
        </w:rPr>
        <w:t>4.0’</w:t>
      </w:r>
      <w:r>
        <w:rPr>
          <w:color w:val="231F20"/>
          <w:spacing w:val="-8"/>
        </w:rPr>
        <w:t> </w:t>
      </w:r>
      <w:r>
        <w:rPr>
          <w:color w:val="231F20"/>
        </w:rPr>
        <w:t>ın</w:t>
      </w:r>
      <w:r>
        <w:rPr>
          <w:color w:val="231F20"/>
          <w:spacing w:val="-8"/>
        </w:rPr>
        <w:t> </w:t>
      </w:r>
      <w:r>
        <w:rPr>
          <w:color w:val="231F20"/>
        </w:rPr>
        <w:t>dinamik</w:t>
      </w:r>
      <w:r>
        <w:rPr>
          <w:color w:val="231F20"/>
          <w:spacing w:val="-8"/>
        </w:rPr>
        <w:t> </w:t>
      </w:r>
      <w:r>
        <w:rPr>
          <w:color w:val="231F20"/>
        </w:rPr>
        <w:t>çevre koşullarında,</w:t>
      </w:r>
      <w:r>
        <w:rPr>
          <w:color w:val="231F20"/>
          <w:spacing w:val="-11"/>
        </w:rPr>
        <w:t> </w:t>
      </w:r>
      <w:r>
        <w:rPr>
          <w:color w:val="231F20"/>
        </w:rPr>
        <w:t>hızlı</w:t>
      </w:r>
      <w:r>
        <w:rPr>
          <w:color w:val="231F20"/>
          <w:spacing w:val="-10"/>
        </w:rPr>
        <w:t> </w:t>
      </w:r>
      <w:r>
        <w:rPr>
          <w:color w:val="231F20"/>
        </w:rPr>
        <w:t>karar</w:t>
      </w:r>
      <w:r>
        <w:rPr>
          <w:color w:val="231F20"/>
          <w:spacing w:val="-10"/>
        </w:rPr>
        <w:t> </w:t>
      </w:r>
      <w:r>
        <w:rPr>
          <w:color w:val="231F20"/>
        </w:rPr>
        <w:t>verebilen,</w:t>
      </w:r>
      <w:r>
        <w:rPr>
          <w:color w:val="231F20"/>
          <w:spacing w:val="-10"/>
        </w:rPr>
        <w:t> </w:t>
      </w:r>
      <w:r>
        <w:rPr>
          <w:color w:val="231F20"/>
        </w:rPr>
        <w:t>inovasyon</w:t>
      </w:r>
      <w:r>
        <w:rPr>
          <w:color w:val="231F20"/>
          <w:spacing w:val="-10"/>
        </w:rPr>
        <w:t> </w:t>
      </w:r>
      <w:r>
        <w:rPr>
          <w:color w:val="231F20"/>
        </w:rPr>
        <w:t>ve</w:t>
      </w:r>
      <w:r>
        <w:rPr>
          <w:color w:val="231F20"/>
          <w:spacing w:val="-10"/>
        </w:rPr>
        <w:t> </w:t>
      </w:r>
      <w:r>
        <w:rPr>
          <w:color w:val="231F20"/>
        </w:rPr>
        <w:t>yaratıcılığa</w:t>
      </w:r>
      <w:r>
        <w:rPr>
          <w:color w:val="231F20"/>
          <w:spacing w:val="-10"/>
        </w:rPr>
        <w:t> </w:t>
      </w:r>
      <w:r>
        <w:rPr>
          <w:color w:val="231F20"/>
        </w:rPr>
        <w:t>önem</w:t>
      </w:r>
      <w:r>
        <w:rPr>
          <w:color w:val="231F20"/>
          <w:spacing w:val="-10"/>
        </w:rPr>
        <w:t> </w:t>
      </w:r>
      <w:r>
        <w:rPr>
          <w:color w:val="231F20"/>
        </w:rPr>
        <w:t>veren,</w:t>
      </w:r>
      <w:r>
        <w:rPr>
          <w:color w:val="231F20"/>
          <w:spacing w:val="-10"/>
        </w:rPr>
        <w:t> </w:t>
      </w:r>
      <w:r>
        <w:rPr>
          <w:color w:val="231F20"/>
        </w:rPr>
        <w:t>çevik</w:t>
      </w:r>
      <w:r>
        <w:rPr>
          <w:color w:val="231F20"/>
          <w:spacing w:val="-10"/>
        </w:rPr>
        <w:t> </w:t>
      </w:r>
      <w:r>
        <w:rPr>
          <w:color w:val="231F20"/>
        </w:rPr>
        <w:t>liderlere</w:t>
      </w:r>
      <w:r>
        <w:rPr>
          <w:color w:val="231F20"/>
          <w:spacing w:val="-10"/>
        </w:rPr>
        <w:t> </w:t>
      </w:r>
      <w:r>
        <w:rPr>
          <w:color w:val="231F20"/>
        </w:rPr>
        <w:t>ihtiyaç olduğunu belirtilmiştir. Narayan (2021) günümüzün VUCA dünyasındaki en önemli</w:t>
      </w:r>
      <w:r>
        <w:rPr>
          <w:color w:val="231F20"/>
          <w:spacing w:val="-27"/>
        </w:rPr>
        <w:t> </w:t>
      </w:r>
      <w:r>
        <w:rPr>
          <w:color w:val="231F20"/>
        </w:rPr>
        <w:t>yetkinliği çevik</w:t>
      </w:r>
      <w:r>
        <w:rPr>
          <w:color w:val="231F20"/>
          <w:spacing w:val="-6"/>
        </w:rPr>
        <w:t> </w:t>
      </w:r>
      <w:r>
        <w:rPr>
          <w:color w:val="231F20"/>
        </w:rPr>
        <w:t>liderlik</w:t>
      </w:r>
      <w:r>
        <w:rPr>
          <w:color w:val="231F20"/>
          <w:spacing w:val="-5"/>
        </w:rPr>
        <w:t> </w:t>
      </w:r>
      <w:r>
        <w:rPr>
          <w:color w:val="231F20"/>
        </w:rPr>
        <w:t>olarak</w:t>
      </w:r>
      <w:r>
        <w:rPr>
          <w:color w:val="231F20"/>
          <w:spacing w:val="-6"/>
        </w:rPr>
        <w:t> </w:t>
      </w:r>
      <w:r>
        <w:rPr>
          <w:color w:val="231F20"/>
        </w:rPr>
        <w:t>belirtmiştir.</w:t>
      </w:r>
      <w:r>
        <w:rPr>
          <w:color w:val="231F20"/>
          <w:spacing w:val="-5"/>
        </w:rPr>
        <w:t> </w:t>
      </w:r>
      <w:r>
        <w:rPr>
          <w:color w:val="231F20"/>
        </w:rPr>
        <w:t>Çevik</w:t>
      </w:r>
      <w:r>
        <w:rPr>
          <w:color w:val="231F20"/>
          <w:spacing w:val="-5"/>
        </w:rPr>
        <w:t> </w:t>
      </w:r>
      <w:r>
        <w:rPr>
          <w:color w:val="231F20"/>
        </w:rPr>
        <w:t>liderliğin</w:t>
      </w:r>
      <w:r>
        <w:rPr>
          <w:color w:val="231F20"/>
          <w:spacing w:val="-6"/>
        </w:rPr>
        <w:t> </w:t>
      </w:r>
      <w:r>
        <w:rPr>
          <w:color w:val="231F20"/>
        </w:rPr>
        <w:t>sadece</w:t>
      </w:r>
      <w:r>
        <w:rPr>
          <w:color w:val="231F20"/>
          <w:spacing w:val="-5"/>
        </w:rPr>
        <w:t> </w:t>
      </w:r>
      <w:r>
        <w:rPr>
          <w:color w:val="231F20"/>
        </w:rPr>
        <w:t>hızlı</w:t>
      </w:r>
      <w:r>
        <w:rPr>
          <w:color w:val="231F20"/>
          <w:spacing w:val="-5"/>
        </w:rPr>
        <w:t> </w:t>
      </w:r>
      <w:r>
        <w:rPr>
          <w:color w:val="231F20"/>
        </w:rPr>
        <w:t>tepki</w:t>
      </w:r>
      <w:r>
        <w:rPr>
          <w:color w:val="231F20"/>
          <w:spacing w:val="-6"/>
        </w:rPr>
        <w:t> </w:t>
      </w:r>
      <w:r>
        <w:rPr>
          <w:color w:val="231F20"/>
        </w:rPr>
        <w:t>vermek</w:t>
      </w:r>
      <w:r>
        <w:rPr>
          <w:color w:val="231F20"/>
          <w:spacing w:val="-5"/>
        </w:rPr>
        <w:t> </w:t>
      </w:r>
      <w:r>
        <w:rPr>
          <w:color w:val="231F20"/>
        </w:rPr>
        <w:t>ile</w:t>
      </w:r>
      <w:r>
        <w:rPr>
          <w:color w:val="231F20"/>
          <w:spacing w:val="-6"/>
        </w:rPr>
        <w:t> </w:t>
      </w:r>
      <w:r>
        <w:rPr>
          <w:color w:val="231F20"/>
        </w:rPr>
        <w:t>ilgili</w:t>
      </w:r>
      <w:r>
        <w:rPr>
          <w:color w:val="231F20"/>
          <w:spacing w:val="-5"/>
        </w:rPr>
        <w:t> </w:t>
      </w:r>
      <w:r>
        <w:rPr>
          <w:color w:val="231F20"/>
        </w:rPr>
        <w:t>bir</w:t>
      </w:r>
      <w:r>
        <w:rPr>
          <w:color w:val="231F20"/>
          <w:spacing w:val="-5"/>
        </w:rPr>
        <w:t> </w:t>
      </w:r>
      <w:r>
        <w:rPr>
          <w:color w:val="231F20"/>
        </w:rPr>
        <w:t>kavram olmadığını savunmuştur. Artan karmaşıklık koşullarında sürekli ve etkili eylemlerde bulunma becerisi olarak tanımlamıştır.</w:t>
      </w:r>
    </w:p>
    <w:p>
      <w:pPr>
        <w:pStyle w:val="BodyText"/>
        <w:spacing w:line="249" w:lineRule="auto" w:before="124"/>
        <w:ind w:left="252" w:right="249" w:firstLine="567"/>
        <w:jc w:val="both"/>
      </w:pPr>
      <w:r>
        <w:rPr>
          <w:color w:val="231F20"/>
        </w:rPr>
        <w:t>Alan araştırmaları VUCA dünyasında işletmelerin yaşanan tüm gelişmeleri ve değiş- meleri takip ederek ayakta kalabilmesi için liderlikteki değişime bağlı dönüşümün bir sonucu olan</w:t>
      </w:r>
      <w:r>
        <w:rPr>
          <w:color w:val="231F20"/>
          <w:spacing w:val="-9"/>
        </w:rPr>
        <w:t> </w:t>
      </w:r>
      <w:r>
        <w:rPr>
          <w:color w:val="231F20"/>
        </w:rPr>
        <w:t>çevik</w:t>
      </w:r>
      <w:r>
        <w:rPr>
          <w:color w:val="231F20"/>
          <w:spacing w:val="-8"/>
        </w:rPr>
        <w:t> </w:t>
      </w:r>
      <w:r>
        <w:rPr>
          <w:color w:val="231F20"/>
        </w:rPr>
        <w:t>liderlere</w:t>
      </w:r>
      <w:r>
        <w:rPr>
          <w:color w:val="231F20"/>
          <w:spacing w:val="-8"/>
        </w:rPr>
        <w:t> </w:t>
      </w:r>
      <w:r>
        <w:rPr>
          <w:color w:val="231F20"/>
        </w:rPr>
        <w:t>ihtiyaç</w:t>
      </w:r>
      <w:r>
        <w:rPr>
          <w:color w:val="231F20"/>
          <w:spacing w:val="-8"/>
        </w:rPr>
        <w:t> </w:t>
      </w:r>
      <w:r>
        <w:rPr>
          <w:color w:val="231F20"/>
        </w:rPr>
        <w:t>olduğunu</w:t>
      </w:r>
      <w:r>
        <w:rPr>
          <w:color w:val="231F20"/>
          <w:spacing w:val="-8"/>
        </w:rPr>
        <w:t> </w:t>
      </w:r>
      <w:r>
        <w:rPr>
          <w:color w:val="231F20"/>
        </w:rPr>
        <w:t>ve</w:t>
      </w:r>
      <w:r>
        <w:rPr>
          <w:color w:val="231F20"/>
          <w:spacing w:val="-8"/>
        </w:rPr>
        <w:t> </w:t>
      </w:r>
      <w:r>
        <w:rPr>
          <w:color w:val="231F20"/>
        </w:rPr>
        <w:t>çevik</w:t>
      </w:r>
      <w:r>
        <w:rPr>
          <w:color w:val="231F20"/>
          <w:spacing w:val="-9"/>
        </w:rPr>
        <w:t> </w:t>
      </w:r>
      <w:r>
        <w:rPr>
          <w:color w:val="231F20"/>
        </w:rPr>
        <w:t>liderliğin</w:t>
      </w:r>
      <w:r>
        <w:rPr>
          <w:color w:val="231F20"/>
          <w:spacing w:val="-8"/>
        </w:rPr>
        <w:t> </w:t>
      </w:r>
      <w:r>
        <w:rPr>
          <w:color w:val="231F20"/>
        </w:rPr>
        <w:t>işletmelerin</w:t>
      </w:r>
      <w:r>
        <w:rPr>
          <w:color w:val="231F20"/>
          <w:spacing w:val="-8"/>
        </w:rPr>
        <w:t> </w:t>
      </w:r>
      <w:r>
        <w:rPr>
          <w:color w:val="231F20"/>
        </w:rPr>
        <w:t>devamlılığı</w:t>
      </w:r>
      <w:r>
        <w:rPr>
          <w:color w:val="231F20"/>
          <w:spacing w:val="-8"/>
        </w:rPr>
        <w:t> </w:t>
      </w:r>
      <w:r>
        <w:rPr>
          <w:color w:val="231F20"/>
        </w:rPr>
        <w:t>için</w:t>
      </w:r>
      <w:r>
        <w:rPr>
          <w:color w:val="231F20"/>
          <w:spacing w:val="-8"/>
        </w:rPr>
        <w:t> </w:t>
      </w:r>
      <w:r>
        <w:rPr>
          <w:color w:val="231F20"/>
        </w:rPr>
        <w:t>önemli</w:t>
      </w:r>
      <w:r>
        <w:rPr>
          <w:color w:val="231F20"/>
          <w:spacing w:val="-8"/>
        </w:rPr>
        <w:t> </w:t>
      </w:r>
      <w:r>
        <w:rPr>
          <w:color w:val="231F20"/>
        </w:rPr>
        <w:t>bir yönetsel yaklaşım olduğunu vurgulamışlardır. Bennis ve Nanus’un liderlik teorisine dayanan VUCA, her büyüklükteki işletmenin mevcut ve gelecekteki liderlik profilini şekillendirmede kullanılabilecek bir 21.yüzyıl çerçevesi olarak belirtilmiştir (Stiehm, 2002; Johansen, 2007; Akdemir vd., 2007). 21. yüzyıl dünyasında başarı için bir ön koşul görülen çevik liderlik ise VUCA dünyasına dayanan bir liderlik olarak ifade edilmiştir (Horney vd., 2010; Bennett </w:t>
      </w:r>
      <w:r>
        <w:rPr>
          <w:color w:val="231F20"/>
          <w:spacing w:val="-11"/>
        </w:rPr>
        <w:t>&amp; </w:t>
      </w:r>
      <w:r>
        <w:rPr>
          <w:color w:val="231F20"/>
        </w:rPr>
        <w:t>Lemoine, 2014; Hall &amp; Rowland, 2016; Attar &amp; Abdul-Kareem, 2020). Alan yazındaki araş- tırmalar ve araştırmacı görüşlerinden hareketle, VUCA algısının çevik liderlik becerisi algı- sını etkilemesi beklenilmektedir. Bu etkiyi test etmek üzere geliştirilen hipotezler Tablo 1’de sunulmuştur.</w:t>
      </w:r>
    </w:p>
    <w:p>
      <w:pPr>
        <w:pStyle w:val="BodyText"/>
        <w:spacing w:before="7"/>
      </w:pPr>
    </w:p>
    <w:p>
      <w:pPr>
        <w:pStyle w:val="Heading1"/>
      </w:pPr>
      <w:r>
        <w:rPr/>
        <w:pict>
          <v:shape style="position:absolute;margin-left:49.6063pt;margin-top:16.417944pt;width:377.05pt;height:.1pt;mso-position-horizontal-relative:page;mso-position-vertical-relative:paragraph;z-index:-15728128;mso-wrap-distance-left:0;mso-wrap-distance-right:0" coordorigin="992,328" coordsize="7541,0" path="m992,328l8532,328e" filled="false" stroked="true" strokeweight=".5pt" strokecolor="#231f20">
            <v:path arrowok="t"/>
            <v:stroke dashstyle="solid"/>
            <w10:wrap type="topAndBottom"/>
          </v:shape>
        </w:pict>
      </w:r>
      <w:r>
        <w:rPr>
          <w:color w:val="231F20"/>
        </w:rPr>
        <w:t>Tablo 1: Araştırmanın Hipotezleri</w:t>
      </w:r>
    </w:p>
    <w:p>
      <w:pPr>
        <w:spacing w:before="8" w:after="34"/>
        <w:ind w:left="331" w:right="0" w:firstLine="0"/>
        <w:jc w:val="left"/>
        <w:rPr>
          <w:b/>
          <w:sz w:val="20"/>
        </w:rPr>
      </w:pPr>
      <w:r>
        <w:rPr>
          <w:b/>
          <w:color w:val="231F20"/>
          <w:sz w:val="20"/>
        </w:rPr>
        <w:t>H1: VUCA algısının çevik liderlik becerisi algısı üzerinde etkisi vardır.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line="321" w:lineRule="auto" w:before="25"/>
        <w:ind w:left="331" w:right="323"/>
      </w:pPr>
      <w:r>
        <w:rPr/>
        <w:pict>
          <v:line style="position:absolute;mso-position-horizontal-relative:page;mso-position-vertical-relative:paragraph;z-index:-17113600" from="49.6063pt,14.551939pt" to="426.6143pt,14.551939pt" stroked="true" strokeweight=".25pt" strokecolor="#231f20">
            <v:stroke dashstyle="solid"/>
            <w10:wrap type="none"/>
          </v:line>
        </w:pict>
      </w:r>
      <w:r>
        <w:rPr/>
        <w:pict>
          <v:line style="position:absolute;mso-position-horizontal-relative:page;mso-position-vertical-relative:paragraph;z-index:-17113088" from="49.6063pt,29.988939pt" to="426.6143pt,29.988939pt" stroked="true" strokeweight=".25pt" strokecolor="#231f20">
            <v:stroke dashstyle="solid"/>
            <w10:wrap type="none"/>
          </v:line>
        </w:pict>
      </w:r>
      <w:r>
        <w:rPr>
          <w:color w:val="231F20"/>
        </w:rPr>
        <w:t>H1a: Oynaklık (değişkenlik) algısının çevik liderlik becerisi algısı üzerinde etkisi vardır. H1b: Karmaşıklık algısının çevik liderlik becerisi algısı üzerinde etkisi vardır.</w:t>
      </w:r>
    </w:p>
    <w:p>
      <w:pPr>
        <w:pStyle w:val="BodyText"/>
        <w:spacing w:before="2"/>
        <w:ind w:left="331"/>
      </w:pPr>
      <w:r>
        <w:rPr/>
        <w:pict>
          <v:shape style="position:absolute;margin-left:49.6063pt;margin-top:13.395634pt;width:377.05pt;height:.1pt;mso-position-horizontal-relative:page;mso-position-vertical-relative:paragraph;z-index:-15727104;mso-wrap-distance-left:0;mso-wrap-distance-right:0" coordorigin="992,268" coordsize="7541,0" path="m992,268l8532,268e" filled="false" stroked="true" strokeweight=".5pt" strokecolor="#231f20">
            <v:path arrowok="t"/>
            <v:stroke dashstyle="solid"/>
            <w10:wrap type="topAndBottom"/>
          </v:shape>
        </w:pict>
      </w:r>
      <w:r>
        <w:rPr>
          <w:color w:val="231F20"/>
        </w:rPr>
        <w:t>H1c: Belirsizlik algısının çevik liderlik becerisi algısı üzerinde etkisi vardır.</w:t>
      </w:r>
    </w:p>
    <w:p>
      <w:pPr>
        <w:spacing w:after="0"/>
        <w:sectPr>
          <w:pgSz w:w="9530" w:h="13610"/>
          <w:pgMar w:header="700" w:footer="344" w:top="1060" w:bottom="540" w:left="740" w:right="740"/>
        </w:sectPr>
      </w:pPr>
    </w:p>
    <w:p>
      <w:pPr>
        <w:pStyle w:val="BodyText"/>
      </w:pPr>
    </w:p>
    <w:p>
      <w:pPr>
        <w:pStyle w:val="BodyText"/>
        <w:spacing w:before="1"/>
      </w:pPr>
    </w:p>
    <w:p>
      <w:pPr>
        <w:pStyle w:val="Heading1"/>
        <w:numPr>
          <w:ilvl w:val="1"/>
          <w:numId w:val="1"/>
        </w:numPr>
        <w:tabs>
          <w:tab w:pos="603" w:val="left" w:leader="none"/>
        </w:tabs>
        <w:spacing w:line="240" w:lineRule="auto" w:before="1" w:after="0"/>
        <w:ind w:left="602" w:right="0" w:hanging="351"/>
        <w:jc w:val="left"/>
      </w:pPr>
      <w:r>
        <w:rPr>
          <w:color w:val="034694"/>
        </w:rPr>
        <w:t>Çevik Liderlik ve İlgili</w:t>
      </w:r>
      <w:r>
        <w:rPr>
          <w:color w:val="034694"/>
          <w:spacing w:val="-3"/>
        </w:rPr>
        <w:t> </w:t>
      </w:r>
      <w:r>
        <w:rPr>
          <w:color w:val="034694"/>
        </w:rPr>
        <w:t>Araştırmalar</w:t>
      </w:r>
    </w:p>
    <w:p>
      <w:pPr>
        <w:pStyle w:val="BodyText"/>
        <w:spacing w:line="249" w:lineRule="auto" w:before="123"/>
        <w:ind w:left="252" w:right="247" w:firstLine="567"/>
        <w:jc w:val="both"/>
      </w:pPr>
      <w:r>
        <w:rPr>
          <w:color w:val="231F20"/>
        </w:rPr>
        <w:t>Çevik</w:t>
      </w:r>
      <w:r>
        <w:rPr>
          <w:color w:val="231F20"/>
          <w:spacing w:val="-9"/>
        </w:rPr>
        <w:t> </w:t>
      </w:r>
      <w:r>
        <w:rPr>
          <w:color w:val="231F20"/>
        </w:rPr>
        <w:t>liderlik</w:t>
      </w:r>
      <w:r>
        <w:rPr>
          <w:color w:val="231F20"/>
          <w:spacing w:val="-9"/>
        </w:rPr>
        <w:t> </w:t>
      </w:r>
      <w:r>
        <w:rPr>
          <w:color w:val="231F20"/>
        </w:rPr>
        <w:t>ile</w:t>
      </w:r>
      <w:r>
        <w:rPr>
          <w:color w:val="231F20"/>
          <w:spacing w:val="-9"/>
        </w:rPr>
        <w:t> </w:t>
      </w:r>
      <w:r>
        <w:rPr>
          <w:color w:val="231F20"/>
        </w:rPr>
        <w:t>ilgili</w:t>
      </w:r>
      <w:r>
        <w:rPr>
          <w:color w:val="231F20"/>
          <w:spacing w:val="-9"/>
        </w:rPr>
        <w:t> </w:t>
      </w:r>
      <w:r>
        <w:rPr>
          <w:color w:val="231F20"/>
        </w:rPr>
        <w:t>alan</w:t>
      </w:r>
      <w:r>
        <w:rPr>
          <w:color w:val="231F20"/>
          <w:spacing w:val="-9"/>
        </w:rPr>
        <w:t> </w:t>
      </w:r>
      <w:r>
        <w:rPr>
          <w:color w:val="231F20"/>
        </w:rPr>
        <w:t>yazın</w:t>
      </w:r>
      <w:r>
        <w:rPr>
          <w:color w:val="231F20"/>
          <w:spacing w:val="-9"/>
        </w:rPr>
        <w:t> </w:t>
      </w:r>
      <w:r>
        <w:rPr>
          <w:color w:val="231F20"/>
        </w:rPr>
        <w:t>incelendiğinde,</w:t>
      </w:r>
      <w:r>
        <w:rPr>
          <w:color w:val="231F20"/>
          <w:spacing w:val="-9"/>
        </w:rPr>
        <w:t> </w:t>
      </w:r>
      <w:r>
        <w:rPr>
          <w:color w:val="231F20"/>
        </w:rPr>
        <w:t>farklı</w:t>
      </w:r>
      <w:r>
        <w:rPr>
          <w:color w:val="231F20"/>
          <w:spacing w:val="-9"/>
        </w:rPr>
        <w:t> </w:t>
      </w:r>
      <w:r>
        <w:rPr>
          <w:color w:val="231F20"/>
        </w:rPr>
        <w:t>araştırmacılar</w:t>
      </w:r>
      <w:r>
        <w:rPr>
          <w:color w:val="231F20"/>
          <w:spacing w:val="-9"/>
        </w:rPr>
        <w:t> </w:t>
      </w:r>
      <w:r>
        <w:rPr>
          <w:color w:val="231F20"/>
        </w:rPr>
        <w:t>tarafından</w:t>
      </w:r>
      <w:r>
        <w:rPr>
          <w:color w:val="231F20"/>
          <w:spacing w:val="-9"/>
        </w:rPr>
        <w:t> </w:t>
      </w:r>
      <w:r>
        <w:rPr>
          <w:color w:val="231F20"/>
        </w:rPr>
        <w:t>yapılan çeşitli çalışmalar bulunmaktadır. Fernández (2005)’e göre, yöneticiler beklenmeyen durumlar karşısında hızlı ve esnek olmalıdır. Bununla birlikte, hızlı değişimlere hızlı tepki vermelidir. Diğer bir ifadeyle, değişen kural ve düzenlemeler, rakiplerin beklenmedik hareketleri, pazarın ihtiyaçlarını karşılama doğrultusunda ürün, süreç ve prosedürleri değiştirmek, çalışan davra- nışlarındaki</w:t>
      </w:r>
      <w:r>
        <w:rPr>
          <w:color w:val="231F20"/>
          <w:spacing w:val="-8"/>
        </w:rPr>
        <w:t> </w:t>
      </w:r>
      <w:r>
        <w:rPr>
          <w:color w:val="231F20"/>
        </w:rPr>
        <w:t>kültürel</w:t>
      </w:r>
      <w:r>
        <w:rPr>
          <w:color w:val="231F20"/>
          <w:spacing w:val="-8"/>
        </w:rPr>
        <w:t> </w:t>
      </w:r>
      <w:r>
        <w:rPr>
          <w:color w:val="231F20"/>
        </w:rPr>
        <w:t>farklılıklar,</w:t>
      </w:r>
      <w:r>
        <w:rPr>
          <w:color w:val="231F20"/>
          <w:spacing w:val="-8"/>
        </w:rPr>
        <w:t> </w:t>
      </w:r>
      <w:r>
        <w:rPr>
          <w:color w:val="231F20"/>
        </w:rPr>
        <w:t>nitelikli</w:t>
      </w:r>
      <w:r>
        <w:rPr>
          <w:color w:val="231F20"/>
          <w:spacing w:val="-8"/>
        </w:rPr>
        <w:t> </w:t>
      </w:r>
      <w:r>
        <w:rPr>
          <w:color w:val="231F20"/>
        </w:rPr>
        <w:t>çalışan</w:t>
      </w:r>
      <w:r>
        <w:rPr>
          <w:color w:val="231F20"/>
          <w:spacing w:val="-8"/>
        </w:rPr>
        <w:t> </w:t>
      </w:r>
      <w:r>
        <w:rPr>
          <w:color w:val="231F20"/>
        </w:rPr>
        <w:t>bulma</w:t>
      </w:r>
      <w:r>
        <w:rPr>
          <w:color w:val="231F20"/>
          <w:spacing w:val="-8"/>
        </w:rPr>
        <w:t> </w:t>
      </w:r>
      <w:r>
        <w:rPr>
          <w:color w:val="231F20"/>
        </w:rPr>
        <w:t>ve</w:t>
      </w:r>
      <w:r>
        <w:rPr>
          <w:color w:val="231F20"/>
          <w:spacing w:val="-8"/>
        </w:rPr>
        <w:t> </w:t>
      </w:r>
      <w:r>
        <w:rPr>
          <w:color w:val="231F20"/>
        </w:rPr>
        <w:t>elde</w:t>
      </w:r>
      <w:r>
        <w:rPr>
          <w:color w:val="231F20"/>
          <w:spacing w:val="-8"/>
        </w:rPr>
        <w:t> </w:t>
      </w:r>
      <w:r>
        <w:rPr>
          <w:color w:val="231F20"/>
        </w:rPr>
        <w:t>tutmak</w:t>
      </w:r>
      <w:r>
        <w:rPr>
          <w:color w:val="231F20"/>
          <w:spacing w:val="-8"/>
        </w:rPr>
        <w:t> </w:t>
      </w:r>
      <w:r>
        <w:rPr>
          <w:color w:val="231F20"/>
        </w:rPr>
        <w:t>için</w:t>
      </w:r>
      <w:r>
        <w:rPr>
          <w:color w:val="231F20"/>
          <w:spacing w:val="-8"/>
        </w:rPr>
        <w:t> </w:t>
      </w:r>
      <w:r>
        <w:rPr>
          <w:color w:val="231F20"/>
        </w:rPr>
        <w:t>hızlı</w:t>
      </w:r>
      <w:r>
        <w:rPr>
          <w:color w:val="231F20"/>
          <w:spacing w:val="-8"/>
        </w:rPr>
        <w:t> </w:t>
      </w:r>
      <w:r>
        <w:rPr>
          <w:color w:val="231F20"/>
        </w:rPr>
        <w:t>tepki</w:t>
      </w:r>
      <w:r>
        <w:rPr>
          <w:color w:val="231F20"/>
          <w:spacing w:val="-8"/>
        </w:rPr>
        <w:t> </w:t>
      </w:r>
      <w:r>
        <w:rPr>
          <w:color w:val="231F20"/>
        </w:rPr>
        <w:t>verebilen çevik lider olmalıdır.</w:t>
      </w:r>
    </w:p>
    <w:p>
      <w:pPr>
        <w:pStyle w:val="BodyText"/>
        <w:spacing w:line="249" w:lineRule="auto" w:before="119"/>
        <w:ind w:left="252" w:right="248" w:firstLine="567"/>
        <w:jc w:val="both"/>
      </w:pPr>
      <w:r>
        <w:rPr>
          <w:color w:val="231F20"/>
        </w:rPr>
        <w:t>Joiner &amp; Josephs (2007) “Leadership Agility-Five Levels of Mastery for Anticipating and Initiating Change” isimli çalışmada çevik liderliği kavramsal bir model olarak ortaya</w:t>
      </w:r>
      <w:r>
        <w:rPr>
          <w:color w:val="231F20"/>
          <w:spacing w:val="-25"/>
        </w:rPr>
        <w:t> </w:t>
      </w:r>
      <w:r>
        <w:rPr>
          <w:color w:val="231F20"/>
        </w:rPr>
        <w:t>koy- muştur.</w:t>
      </w:r>
      <w:r>
        <w:rPr>
          <w:color w:val="231F20"/>
          <w:spacing w:val="-6"/>
        </w:rPr>
        <w:t> </w:t>
      </w:r>
      <w:r>
        <w:rPr>
          <w:color w:val="231F20"/>
        </w:rPr>
        <w:t>Çevik</w:t>
      </w:r>
      <w:r>
        <w:rPr>
          <w:color w:val="231F20"/>
          <w:spacing w:val="-5"/>
        </w:rPr>
        <w:t> </w:t>
      </w:r>
      <w:r>
        <w:rPr>
          <w:color w:val="231F20"/>
        </w:rPr>
        <w:t>liderlik</w:t>
      </w:r>
      <w:r>
        <w:rPr>
          <w:color w:val="231F20"/>
          <w:spacing w:val="-5"/>
        </w:rPr>
        <w:t> </w:t>
      </w:r>
      <w:r>
        <w:rPr>
          <w:color w:val="231F20"/>
        </w:rPr>
        <w:t>“karmaşık,</w:t>
      </w:r>
      <w:r>
        <w:rPr>
          <w:color w:val="231F20"/>
          <w:spacing w:val="-5"/>
        </w:rPr>
        <w:t> </w:t>
      </w:r>
      <w:r>
        <w:rPr>
          <w:color w:val="231F20"/>
        </w:rPr>
        <w:t>hızla</w:t>
      </w:r>
      <w:r>
        <w:rPr>
          <w:color w:val="231F20"/>
          <w:spacing w:val="-5"/>
        </w:rPr>
        <w:t> </w:t>
      </w:r>
      <w:r>
        <w:rPr>
          <w:color w:val="231F20"/>
        </w:rPr>
        <w:t>değişen</w:t>
      </w:r>
      <w:r>
        <w:rPr>
          <w:color w:val="231F20"/>
          <w:spacing w:val="-5"/>
        </w:rPr>
        <w:t> </w:t>
      </w:r>
      <w:r>
        <w:rPr>
          <w:color w:val="231F20"/>
        </w:rPr>
        <w:t>koşullarda</w:t>
      </w:r>
      <w:r>
        <w:rPr>
          <w:color w:val="231F20"/>
          <w:spacing w:val="-5"/>
        </w:rPr>
        <w:t> </w:t>
      </w:r>
      <w:r>
        <w:rPr>
          <w:color w:val="231F20"/>
        </w:rPr>
        <w:t>etkili</w:t>
      </w:r>
      <w:r>
        <w:rPr>
          <w:color w:val="231F20"/>
          <w:spacing w:val="-5"/>
        </w:rPr>
        <w:t> </w:t>
      </w:r>
      <w:r>
        <w:rPr>
          <w:color w:val="231F20"/>
        </w:rPr>
        <w:t>eylemlerde</w:t>
      </w:r>
      <w:r>
        <w:rPr>
          <w:color w:val="231F20"/>
          <w:spacing w:val="-5"/>
        </w:rPr>
        <w:t> </w:t>
      </w:r>
      <w:r>
        <w:rPr>
          <w:color w:val="231F20"/>
        </w:rPr>
        <w:t>bulunma</w:t>
      </w:r>
      <w:r>
        <w:rPr>
          <w:color w:val="231F20"/>
          <w:spacing w:val="-5"/>
        </w:rPr>
        <w:t> </w:t>
      </w:r>
      <w:r>
        <w:rPr>
          <w:color w:val="231F20"/>
        </w:rPr>
        <w:t>becerisi” olarak tanımlanmıştır (s.6). Wooten &amp; James (2008) çalışmasında 2000-2006 yılları arasında iş</w:t>
      </w:r>
      <w:r>
        <w:rPr>
          <w:color w:val="231F20"/>
          <w:spacing w:val="-6"/>
        </w:rPr>
        <w:t> </w:t>
      </w:r>
      <w:r>
        <w:rPr>
          <w:color w:val="231F20"/>
        </w:rPr>
        <w:t>ortamında</w:t>
      </w:r>
      <w:r>
        <w:rPr>
          <w:color w:val="231F20"/>
          <w:spacing w:val="-6"/>
        </w:rPr>
        <w:t> </w:t>
      </w:r>
      <w:r>
        <w:rPr>
          <w:color w:val="231F20"/>
        </w:rPr>
        <w:t>yaşanan</w:t>
      </w:r>
      <w:r>
        <w:rPr>
          <w:color w:val="231F20"/>
          <w:spacing w:val="-6"/>
        </w:rPr>
        <w:t> </w:t>
      </w:r>
      <w:r>
        <w:rPr>
          <w:color w:val="231F20"/>
        </w:rPr>
        <w:t>krizlere</w:t>
      </w:r>
      <w:r>
        <w:rPr>
          <w:color w:val="231F20"/>
          <w:spacing w:val="-6"/>
        </w:rPr>
        <w:t> </w:t>
      </w:r>
      <w:r>
        <w:rPr>
          <w:color w:val="231F20"/>
        </w:rPr>
        <w:t>firmaların</w:t>
      </w:r>
      <w:r>
        <w:rPr>
          <w:color w:val="231F20"/>
          <w:spacing w:val="-6"/>
        </w:rPr>
        <w:t> </w:t>
      </w:r>
      <w:r>
        <w:rPr>
          <w:color w:val="231F20"/>
        </w:rPr>
        <w:t>verdiği</w:t>
      </w:r>
      <w:r>
        <w:rPr>
          <w:color w:val="231F20"/>
          <w:spacing w:val="-5"/>
        </w:rPr>
        <w:t> </w:t>
      </w:r>
      <w:r>
        <w:rPr>
          <w:color w:val="231F20"/>
        </w:rPr>
        <w:t>tepkileri</w:t>
      </w:r>
      <w:r>
        <w:rPr>
          <w:color w:val="231F20"/>
          <w:spacing w:val="-6"/>
        </w:rPr>
        <w:t> </w:t>
      </w:r>
      <w:r>
        <w:rPr>
          <w:color w:val="231F20"/>
        </w:rPr>
        <w:t>incelemiş</w:t>
      </w:r>
      <w:r>
        <w:rPr>
          <w:color w:val="231F20"/>
          <w:spacing w:val="-6"/>
        </w:rPr>
        <w:t> </w:t>
      </w:r>
      <w:r>
        <w:rPr>
          <w:color w:val="231F20"/>
        </w:rPr>
        <w:t>ve</w:t>
      </w:r>
      <w:r>
        <w:rPr>
          <w:color w:val="231F20"/>
          <w:spacing w:val="-6"/>
        </w:rPr>
        <w:t> </w:t>
      </w:r>
      <w:r>
        <w:rPr>
          <w:color w:val="231F20"/>
        </w:rPr>
        <w:t>çevik</w:t>
      </w:r>
      <w:r>
        <w:rPr>
          <w:color w:val="231F20"/>
          <w:spacing w:val="-6"/>
        </w:rPr>
        <w:t> </w:t>
      </w:r>
      <w:r>
        <w:rPr>
          <w:color w:val="231F20"/>
        </w:rPr>
        <w:t>liderliğin</w:t>
      </w:r>
      <w:r>
        <w:rPr>
          <w:color w:val="231F20"/>
          <w:spacing w:val="-6"/>
        </w:rPr>
        <w:t> </w:t>
      </w:r>
      <w:r>
        <w:rPr>
          <w:color w:val="231F20"/>
        </w:rPr>
        <w:t>önemine vurgu</w:t>
      </w:r>
      <w:r>
        <w:rPr>
          <w:color w:val="231F20"/>
          <w:spacing w:val="-10"/>
        </w:rPr>
        <w:t> </w:t>
      </w:r>
      <w:r>
        <w:rPr>
          <w:color w:val="231F20"/>
        </w:rPr>
        <w:t>yapmıştır.</w:t>
      </w:r>
      <w:r>
        <w:rPr>
          <w:color w:val="231F20"/>
          <w:spacing w:val="-9"/>
        </w:rPr>
        <w:t> </w:t>
      </w:r>
      <w:r>
        <w:rPr>
          <w:color w:val="231F20"/>
        </w:rPr>
        <w:t>Başka</w:t>
      </w:r>
      <w:r>
        <w:rPr>
          <w:color w:val="231F20"/>
          <w:spacing w:val="-9"/>
        </w:rPr>
        <w:t> </w:t>
      </w:r>
      <w:r>
        <w:rPr>
          <w:color w:val="231F20"/>
        </w:rPr>
        <w:t>bir</w:t>
      </w:r>
      <w:r>
        <w:rPr>
          <w:color w:val="231F20"/>
          <w:spacing w:val="-9"/>
        </w:rPr>
        <w:t> </w:t>
      </w:r>
      <w:r>
        <w:rPr>
          <w:color w:val="231F20"/>
        </w:rPr>
        <w:t>araştırmada</w:t>
      </w:r>
      <w:r>
        <w:rPr>
          <w:color w:val="231F20"/>
          <w:spacing w:val="-9"/>
        </w:rPr>
        <w:t> </w:t>
      </w:r>
      <w:r>
        <w:rPr>
          <w:color w:val="231F20"/>
        </w:rPr>
        <w:t>ise,</w:t>
      </w:r>
      <w:r>
        <w:rPr>
          <w:color w:val="231F20"/>
          <w:spacing w:val="-9"/>
        </w:rPr>
        <w:t> </w:t>
      </w:r>
      <w:r>
        <w:rPr>
          <w:color w:val="231F20"/>
        </w:rPr>
        <w:t>çevik</w:t>
      </w:r>
      <w:r>
        <w:rPr>
          <w:color w:val="231F20"/>
          <w:spacing w:val="-9"/>
        </w:rPr>
        <w:t> </w:t>
      </w:r>
      <w:r>
        <w:rPr>
          <w:color w:val="231F20"/>
        </w:rPr>
        <w:t>liderlerin</w:t>
      </w:r>
      <w:r>
        <w:rPr>
          <w:color w:val="231F20"/>
          <w:spacing w:val="-9"/>
        </w:rPr>
        <w:t> </w:t>
      </w:r>
      <w:r>
        <w:rPr>
          <w:color w:val="231F20"/>
        </w:rPr>
        <w:t>kuruluşların</w:t>
      </w:r>
      <w:r>
        <w:rPr>
          <w:color w:val="231F20"/>
          <w:spacing w:val="-10"/>
        </w:rPr>
        <w:t> </w:t>
      </w:r>
      <w:r>
        <w:rPr>
          <w:color w:val="231F20"/>
        </w:rPr>
        <w:t>küresel</w:t>
      </w:r>
      <w:r>
        <w:rPr>
          <w:color w:val="231F20"/>
          <w:spacing w:val="-9"/>
        </w:rPr>
        <w:t> </w:t>
      </w:r>
      <w:r>
        <w:rPr>
          <w:color w:val="231F20"/>
        </w:rPr>
        <w:t>rekabet</w:t>
      </w:r>
      <w:r>
        <w:rPr>
          <w:color w:val="231F20"/>
          <w:spacing w:val="-9"/>
        </w:rPr>
        <w:t> </w:t>
      </w:r>
      <w:r>
        <w:rPr>
          <w:color w:val="231F20"/>
        </w:rPr>
        <w:t>gücünü ve gelecekteki stratejik büyüme planlarını etkilediği belirtilmiştir (Caligiuri,</w:t>
      </w:r>
      <w:r>
        <w:rPr>
          <w:color w:val="231F20"/>
          <w:spacing w:val="-4"/>
        </w:rPr>
        <w:t> </w:t>
      </w:r>
      <w:r>
        <w:rPr>
          <w:color w:val="231F20"/>
        </w:rPr>
        <w:t>2013).</w:t>
      </w:r>
    </w:p>
    <w:p>
      <w:pPr>
        <w:pStyle w:val="BodyText"/>
        <w:spacing w:line="249" w:lineRule="auto" w:before="119"/>
        <w:ind w:left="252" w:right="249" w:firstLine="567"/>
        <w:jc w:val="both"/>
      </w:pPr>
      <w:r>
        <w:rPr>
          <w:color w:val="231F20"/>
        </w:rPr>
        <w:t>Çevik</w:t>
      </w:r>
      <w:r>
        <w:rPr>
          <w:color w:val="231F20"/>
          <w:spacing w:val="-4"/>
        </w:rPr>
        <w:t> </w:t>
      </w:r>
      <w:r>
        <w:rPr>
          <w:color w:val="231F20"/>
        </w:rPr>
        <w:t>liderliğin</w:t>
      </w:r>
      <w:r>
        <w:rPr>
          <w:color w:val="231F20"/>
          <w:spacing w:val="-4"/>
        </w:rPr>
        <w:t> </w:t>
      </w:r>
      <w:r>
        <w:rPr>
          <w:color w:val="231F20"/>
        </w:rPr>
        <w:t>kurumsal</w:t>
      </w:r>
      <w:r>
        <w:rPr>
          <w:color w:val="231F20"/>
          <w:spacing w:val="-4"/>
        </w:rPr>
        <w:t> </w:t>
      </w:r>
      <w:r>
        <w:rPr>
          <w:color w:val="231F20"/>
        </w:rPr>
        <w:t>başarı</w:t>
      </w:r>
      <w:r>
        <w:rPr>
          <w:color w:val="231F20"/>
          <w:spacing w:val="-4"/>
        </w:rPr>
        <w:t> </w:t>
      </w:r>
      <w:r>
        <w:rPr>
          <w:color w:val="231F20"/>
        </w:rPr>
        <w:t>için</w:t>
      </w:r>
      <w:r>
        <w:rPr>
          <w:color w:val="231F20"/>
          <w:spacing w:val="-3"/>
        </w:rPr>
        <w:t> </w:t>
      </w:r>
      <w:r>
        <w:rPr>
          <w:color w:val="231F20"/>
        </w:rPr>
        <w:t>anahtar</w:t>
      </w:r>
      <w:r>
        <w:rPr>
          <w:color w:val="231F20"/>
          <w:spacing w:val="-4"/>
        </w:rPr>
        <w:t> </w:t>
      </w:r>
      <w:r>
        <w:rPr>
          <w:color w:val="231F20"/>
        </w:rPr>
        <w:t>bir</w:t>
      </w:r>
      <w:r>
        <w:rPr>
          <w:color w:val="231F20"/>
          <w:spacing w:val="-4"/>
        </w:rPr>
        <w:t> </w:t>
      </w:r>
      <w:r>
        <w:rPr>
          <w:color w:val="231F20"/>
        </w:rPr>
        <w:t>faktör</w:t>
      </w:r>
      <w:r>
        <w:rPr>
          <w:color w:val="231F20"/>
          <w:spacing w:val="-4"/>
        </w:rPr>
        <w:t> </w:t>
      </w:r>
      <w:r>
        <w:rPr>
          <w:color w:val="231F20"/>
        </w:rPr>
        <w:t>olduğu</w:t>
      </w:r>
      <w:r>
        <w:rPr>
          <w:color w:val="231F20"/>
          <w:spacing w:val="-4"/>
        </w:rPr>
        <w:t> </w:t>
      </w:r>
      <w:r>
        <w:rPr>
          <w:color w:val="231F20"/>
        </w:rPr>
        <w:t>belirtilmiştir</w:t>
      </w:r>
      <w:r>
        <w:rPr>
          <w:color w:val="231F20"/>
          <w:spacing w:val="-4"/>
        </w:rPr>
        <w:t> </w:t>
      </w:r>
      <w:r>
        <w:rPr>
          <w:color w:val="231F20"/>
        </w:rPr>
        <w:t>(Parker</w:t>
      </w:r>
      <w:r>
        <w:rPr>
          <w:color w:val="231F20"/>
          <w:spacing w:val="-4"/>
        </w:rPr>
        <w:t> vd., </w:t>
      </w:r>
      <w:r>
        <w:rPr>
          <w:color w:val="231F20"/>
        </w:rPr>
        <w:t>2015;</w:t>
      </w:r>
      <w:r>
        <w:rPr>
          <w:color w:val="231F20"/>
          <w:spacing w:val="-4"/>
        </w:rPr>
        <w:t> </w:t>
      </w:r>
      <w:r>
        <w:rPr>
          <w:color w:val="231F20"/>
        </w:rPr>
        <w:t>Bushuyeva</w:t>
      </w:r>
      <w:r>
        <w:rPr>
          <w:color w:val="231F20"/>
          <w:spacing w:val="-4"/>
        </w:rPr>
        <w:t> </w:t>
      </w:r>
      <w:r>
        <w:rPr>
          <w:color w:val="231F20"/>
        </w:rPr>
        <w:t>vd.,</w:t>
      </w:r>
      <w:r>
        <w:rPr>
          <w:color w:val="231F20"/>
          <w:spacing w:val="-4"/>
        </w:rPr>
        <w:t> </w:t>
      </w:r>
      <w:r>
        <w:rPr>
          <w:color w:val="231F20"/>
        </w:rPr>
        <w:t>2019).</w:t>
      </w:r>
      <w:r>
        <w:rPr>
          <w:color w:val="231F20"/>
          <w:spacing w:val="-4"/>
        </w:rPr>
        <w:t> </w:t>
      </w:r>
      <w:r>
        <w:rPr>
          <w:color w:val="231F20"/>
        </w:rPr>
        <w:t>Benzer</w:t>
      </w:r>
      <w:r>
        <w:rPr>
          <w:color w:val="231F20"/>
          <w:spacing w:val="-4"/>
        </w:rPr>
        <w:t> </w:t>
      </w:r>
      <w:r>
        <w:rPr>
          <w:color w:val="231F20"/>
        </w:rPr>
        <w:t>bir</w:t>
      </w:r>
      <w:r>
        <w:rPr>
          <w:color w:val="231F20"/>
          <w:spacing w:val="-4"/>
        </w:rPr>
        <w:t> </w:t>
      </w:r>
      <w:r>
        <w:rPr>
          <w:color w:val="231F20"/>
        </w:rPr>
        <w:t>ifadeyle,</w:t>
      </w:r>
      <w:r>
        <w:rPr>
          <w:color w:val="231F20"/>
          <w:spacing w:val="-4"/>
        </w:rPr>
        <w:t> </w:t>
      </w:r>
      <w:r>
        <w:rPr>
          <w:color w:val="231F20"/>
        </w:rPr>
        <w:t>Wan</w:t>
      </w:r>
      <w:r>
        <w:rPr>
          <w:color w:val="231F20"/>
          <w:spacing w:val="-4"/>
        </w:rPr>
        <w:t> </w:t>
      </w:r>
      <w:r>
        <w:rPr>
          <w:color w:val="231F20"/>
        </w:rPr>
        <w:t>&amp;</w:t>
      </w:r>
      <w:r>
        <w:rPr>
          <w:color w:val="231F20"/>
          <w:spacing w:val="-4"/>
        </w:rPr>
        <w:t> </w:t>
      </w:r>
      <w:r>
        <w:rPr>
          <w:color w:val="231F20"/>
        </w:rPr>
        <w:t>Tan</w:t>
      </w:r>
      <w:r>
        <w:rPr>
          <w:color w:val="231F20"/>
          <w:spacing w:val="-4"/>
        </w:rPr>
        <w:t> </w:t>
      </w:r>
      <w:r>
        <w:rPr>
          <w:color w:val="231F20"/>
        </w:rPr>
        <w:t>(2021)</w:t>
      </w:r>
      <w:r>
        <w:rPr>
          <w:color w:val="231F20"/>
          <w:spacing w:val="-4"/>
        </w:rPr>
        <w:t> </w:t>
      </w:r>
      <w:r>
        <w:rPr>
          <w:color w:val="231F20"/>
        </w:rPr>
        <w:t>değişimin</w:t>
      </w:r>
      <w:r>
        <w:rPr>
          <w:color w:val="231F20"/>
          <w:spacing w:val="-4"/>
        </w:rPr>
        <w:t> </w:t>
      </w:r>
      <w:r>
        <w:rPr>
          <w:color w:val="231F20"/>
        </w:rPr>
        <w:t>hızı</w:t>
      </w:r>
      <w:r>
        <w:rPr>
          <w:color w:val="231F20"/>
          <w:spacing w:val="-4"/>
        </w:rPr>
        <w:t> </w:t>
      </w:r>
      <w:r>
        <w:rPr>
          <w:color w:val="231F20"/>
        </w:rPr>
        <w:t>göz</w:t>
      </w:r>
      <w:r>
        <w:rPr>
          <w:color w:val="231F20"/>
          <w:spacing w:val="-4"/>
        </w:rPr>
        <w:t> </w:t>
      </w:r>
      <w:r>
        <w:rPr>
          <w:color w:val="231F20"/>
        </w:rPr>
        <w:t>önüne alındığında, çevik liderliğin kurumsal sürdürülebilirlik için yadsınamaz bir öneme sahip oldu- ğunu</w:t>
      </w:r>
      <w:r>
        <w:rPr>
          <w:color w:val="231F20"/>
          <w:spacing w:val="-4"/>
        </w:rPr>
        <w:t> </w:t>
      </w:r>
      <w:r>
        <w:rPr>
          <w:color w:val="231F20"/>
        </w:rPr>
        <w:t>belirtmiştir.</w:t>
      </w:r>
      <w:r>
        <w:rPr>
          <w:color w:val="231F20"/>
          <w:spacing w:val="-4"/>
        </w:rPr>
        <w:t> </w:t>
      </w:r>
      <w:r>
        <w:rPr>
          <w:color w:val="231F20"/>
        </w:rPr>
        <w:t>Chen</w:t>
      </w:r>
      <w:r>
        <w:rPr>
          <w:color w:val="231F20"/>
          <w:spacing w:val="-4"/>
        </w:rPr>
        <w:t> </w:t>
      </w:r>
      <w:r>
        <w:rPr>
          <w:color w:val="231F20"/>
        </w:rPr>
        <w:t>vd.’ne</w:t>
      </w:r>
      <w:r>
        <w:rPr>
          <w:color w:val="231F20"/>
          <w:spacing w:val="-4"/>
        </w:rPr>
        <w:t> </w:t>
      </w:r>
      <w:r>
        <w:rPr>
          <w:color w:val="231F20"/>
        </w:rPr>
        <w:t>(2022)</w:t>
      </w:r>
      <w:r>
        <w:rPr>
          <w:color w:val="231F20"/>
          <w:spacing w:val="-4"/>
        </w:rPr>
        <w:t> </w:t>
      </w:r>
      <w:r>
        <w:rPr>
          <w:color w:val="231F20"/>
        </w:rPr>
        <w:t>göre,</w:t>
      </w:r>
      <w:r>
        <w:rPr>
          <w:color w:val="231F20"/>
          <w:spacing w:val="-4"/>
        </w:rPr>
        <w:t> </w:t>
      </w:r>
      <w:r>
        <w:rPr>
          <w:color w:val="231F20"/>
        </w:rPr>
        <w:t>bir</w:t>
      </w:r>
      <w:r>
        <w:rPr>
          <w:color w:val="231F20"/>
          <w:spacing w:val="-4"/>
        </w:rPr>
        <w:t> </w:t>
      </w:r>
      <w:r>
        <w:rPr>
          <w:color w:val="231F20"/>
        </w:rPr>
        <w:t>örgütün</w:t>
      </w:r>
      <w:r>
        <w:rPr>
          <w:color w:val="231F20"/>
          <w:spacing w:val="-3"/>
        </w:rPr>
        <w:t> </w:t>
      </w:r>
      <w:r>
        <w:rPr>
          <w:color w:val="231F20"/>
        </w:rPr>
        <w:t>gelecekteki</w:t>
      </w:r>
      <w:r>
        <w:rPr>
          <w:color w:val="231F20"/>
          <w:spacing w:val="-4"/>
        </w:rPr>
        <w:t> </w:t>
      </w:r>
      <w:r>
        <w:rPr>
          <w:color w:val="231F20"/>
        </w:rPr>
        <w:t>zorluk</w:t>
      </w:r>
      <w:r>
        <w:rPr>
          <w:color w:val="231F20"/>
          <w:spacing w:val="-4"/>
        </w:rPr>
        <w:t> </w:t>
      </w:r>
      <w:r>
        <w:rPr>
          <w:color w:val="231F20"/>
        </w:rPr>
        <w:t>ve</w:t>
      </w:r>
      <w:r>
        <w:rPr>
          <w:color w:val="231F20"/>
          <w:spacing w:val="-4"/>
        </w:rPr>
        <w:t> </w:t>
      </w:r>
      <w:r>
        <w:rPr>
          <w:color w:val="231F20"/>
        </w:rPr>
        <w:t>fırsatlar</w:t>
      </w:r>
      <w:r>
        <w:rPr>
          <w:color w:val="231F20"/>
          <w:spacing w:val="-4"/>
        </w:rPr>
        <w:t> </w:t>
      </w:r>
      <w:r>
        <w:rPr>
          <w:color w:val="231F20"/>
        </w:rPr>
        <w:t>karşısın- da uyum sağlayıp sağlayamaması liderlerin çeviklik düzeyine</w:t>
      </w:r>
      <w:r>
        <w:rPr>
          <w:color w:val="231F20"/>
          <w:spacing w:val="-5"/>
        </w:rPr>
        <w:t> </w:t>
      </w:r>
      <w:r>
        <w:rPr>
          <w:color w:val="231F20"/>
        </w:rPr>
        <w:t>bağlıdır.</w:t>
      </w:r>
    </w:p>
    <w:p>
      <w:pPr>
        <w:pStyle w:val="BodyText"/>
        <w:spacing w:line="249" w:lineRule="auto" w:before="118"/>
        <w:ind w:left="252" w:right="249" w:firstLine="567"/>
        <w:jc w:val="both"/>
      </w:pPr>
      <w:r>
        <w:rPr>
          <w:color w:val="231F20"/>
        </w:rPr>
        <w:t>Hızla</w:t>
      </w:r>
      <w:r>
        <w:rPr>
          <w:color w:val="231F20"/>
          <w:spacing w:val="-10"/>
        </w:rPr>
        <w:t> </w:t>
      </w:r>
      <w:r>
        <w:rPr>
          <w:color w:val="231F20"/>
        </w:rPr>
        <w:t>değişen</w:t>
      </w:r>
      <w:r>
        <w:rPr>
          <w:color w:val="231F20"/>
          <w:spacing w:val="-9"/>
        </w:rPr>
        <w:t> </w:t>
      </w:r>
      <w:r>
        <w:rPr>
          <w:color w:val="231F20"/>
        </w:rPr>
        <w:t>ve</w:t>
      </w:r>
      <w:r>
        <w:rPr>
          <w:color w:val="231F20"/>
          <w:spacing w:val="-9"/>
        </w:rPr>
        <w:t> </w:t>
      </w:r>
      <w:r>
        <w:rPr>
          <w:color w:val="231F20"/>
        </w:rPr>
        <w:t>belirsiz</w:t>
      </w:r>
      <w:r>
        <w:rPr>
          <w:color w:val="231F20"/>
          <w:spacing w:val="-9"/>
        </w:rPr>
        <w:t> </w:t>
      </w:r>
      <w:r>
        <w:rPr>
          <w:color w:val="231F20"/>
        </w:rPr>
        <w:t>ortamlarda</w:t>
      </w:r>
      <w:r>
        <w:rPr>
          <w:color w:val="231F20"/>
          <w:spacing w:val="-9"/>
        </w:rPr>
        <w:t> </w:t>
      </w:r>
      <w:r>
        <w:rPr>
          <w:color w:val="231F20"/>
        </w:rPr>
        <w:t>liderlik</w:t>
      </w:r>
      <w:r>
        <w:rPr>
          <w:color w:val="231F20"/>
          <w:spacing w:val="-10"/>
        </w:rPr>
        <w:t> </w:t>
      </w:r>
      <w:r>
        <w:rPr>
          <w:color w:val="231F20"/>
        </w:rPr>
        <w:t>yapılarını</w:t>
      </w:r>
      <w:r>
        <w:rPr>
          <w:color w:val="231F20"/>
          <w:spacing w:val="-9"/>
        </w:rPr>
        <w:t> </w:t>
      </w:r>
      <w:r>
        <w:rPr>
          <w:color w:val="231F20"/>
        </w:rPr>
        <w:t>ele</w:t>
      </w:r>
      <w:r>
        <w:rPr>
          <w:color w:val="231F20"/>
          <w:spacing w:val="-9"/>
        </w:rPr>
        <w:t> </w:t>
      </w:r>
      <w:r>
        <w:rPr>
          <w:color w:val="231F20"/>
        </w:rPr>
        <w:t>alan</w:t>
      </w:r>
      <w:r>
        <w:rPr>
          <w:color w:val="231F20"/>
          <w:spacing w:val="-8"/>
        </w:rPr>
        <w:t> </w:t>
      </w:r>
      <w:r>
        <w:rPr>
          <w:color w:val="231F20"/>
        </w:rPr>
        <w:t>araştırmaların</w:t>
      </w:r>
      <w:r>
        <w:rPr>
          <w:color w:val="231F20"/>
          <w:spacing w:val="-9"/>
        </w:rPr>
        <w:t> </w:t>
      </w:r>
      <w:r>
        <w:rPr>
          <w:color w:val="231F20"/>
        </w:rPr>
        <w:t>çoğunluğu çevik liderliğe vurgu yapmaktadır (Homey vd., 2010; McKenzie &amp; Aitken, 2012; Lawrance, 2013;</w:t>
      </w:r>
      <w:r>
        <w:rPr>
          <w:color w:val="231F20"/>
          <w:spacing w:val="-5"/>
        </w:rPr>
        <w:t> </w:t>
      </w:r>
      <w:r>
        <w:rPr>
          <w:color w:val="231F20"/>
        </w:rPr>
        <w:t>Parker</w:t>
      </w:r>
      <w:r>
        <w:rPr>
          <w:color w:val="231F20"/>
          <w:spacing w:val="-4"/>
        </w:rPr>
        <w:t> </w:t>
      </w:r>
      <w:r>
        <w:rPr>
          <w:color w:val="231F20"/>
        </w:rPr>
        <w:t>vd.,</w:t>
      </w:r>
      <w:r>
        <w:rPr>
          <w:color w:val="231F20"/>
          <w:spacing w:val="-5"/>
        </w:rPr>
        <w:t> </w:t>
      </w:r>
      <w:r>
        <w:rPr>
          <w:color w:val="231F20"/>
        </w:rPr>
        <w:t>2015;</w:t>
      </w:r>
      <w:r>
        <w:rPr>
          <w:color w:val="231F20"/>
          <w:spacing w:val="-4"/>
        </w:rPr>
        <w:t> </w:t>
      </w:r>
      <w:r>
        <w:rPr>
          <w:color w:val="231F20"/>
        </w:rPr>
        <w:t>Mergel,</w:t>
      </w:r>
      <w:r>
        <w:rPr>
          <w:color w:val="231F20"/>
          <w:spacing w:val="-5"/>
        </w:rPr>
        <w:t> </w:t>
      </w:r>
      <w:r>
        <w:rPr>
          <w:color w:val="231F20"/>
        </w:rPr>
        <w:t>2016;</w:t>
      </w:r>
      <w:r>
        <w:rPr>
          <w:color w:val="231F20"/>
          <w:spacing w:val="-4"/>
        </w:rPr>
        <w:t> </w:t>
      </w:r>
      <w:r>
        <w:rPr>
          <w:color w:val="231F20"/>
        </w:rPr>
        <w:t>Coleman,</w:t>
      </w:r>
      <w:r>
        <w:rPr>
          <w:color w:val="231F20"/>
          <w:spacing w:val="-5"/>
        </w:rPr>
        <w:t> </w:t>
      </w:r>
      <w:r>
        <w:rPr>
          <w:color w:val="231F20"/>
        </w:rPr>
        <w:t>2017;</w:t>
      </w:r>
      <w:r>
        <w:rPr>
          <w:color w:val="231F20"/>
          <w:spacing w:val="-4"/>
        </w:rPr>
        <w:t> </w:t>
      </w:r>
      <w:r>
        <w:rPr>
          <w:color w:val="231F20"/>
        </w:rPr>
        <w:t>Hayward,</w:t>
      </w:r>
      <w:r>
        <w:rPr>
          <w:color w:val="231F20"/>
          <w:spacing w:val="-5"/>
        </w:rPr>
        <w:t> </w:t>
      </w:r>
      <w:r>
        <w:rPr>
          <w:color w:val="231F20"/>
        </w:rPr>
        <w:t>2018;</w:t>
      </w:r>
      <w:r>
        <w:rPr>
          <w:color w:val="231F20"/>
          <w:spacing w:val="-4"/>
        </w:rPr>
        <w:t> </w:t>
      </w:r>
      <w:r>
        <w:rPr>
          <w:color w:val="231F20"/>
        </w:rPr>
        <w:t>Joiner,</w:t>
      </w:r>
      <w:r>
        <w:rPr>
          <w:color w:val="231F20"/>
          <w:spacing w:val="-5"/>
        </w:rPr>
        <w:t> </w:t>
      </w:r>
      <w:r>
        <w:rPr>
          <w:color w:val="231F20"/>
        </w:rPr>
        <w:t>2019;</w:t>
      </w:r>
      <w:r>
        <w:rPr>
          <w:color w:val="231F20"/>
          <w:spacing w:val="-4"/>
        </w:rPr>
        <w:t> </w:t>
      </w:r>
      <w:r>
        <w:rPr>
          <w:color w:val="231F20"/>
        </w:rPr>
        <w:t>Kostrad, 2019; Abbasi &amp; Ruf, 2020). Araştırma sonuçlarından hareketle, çevik liderliği VUCA dün- yasında sahip olunması gereken bir beceri olarak belirtmek mümkündür. Yabancı literatürde 2000’li</w:t>
      </w:r>
      <w:r>
        <w:rPr>
          <w:color w:val="231F20"/>
          <w:spacing w:val="-5"/>
        </w:rPr>
        <w:t> </w:t>
      </w:r>
      <w:r>
        <w:rPr>
          <w:color w:val="231F20"/>
        </w:rPr>
        <w:t>yıllar</w:t>
      </w:r>
      <w:r>
        <w:rPr>
          <w:color w:val="231F20"/>
          <w:spacing w:val="-4"/>
        </w:rPr>
        <w:t> </w:t>
      </w:r>
      <w:r>
        <w:rPr>
          <w:color w:val="231F20"/>
        </w:rPr>
        <w:t>itibariyle</w:t>
      </w:r>
      <w:r>
        <w:rPr>
          <w:color w:val="231F20"/>
          <w:spacing w:val="-4"/>
        </w:rPr>
        <w:t> </w:t>
      </w:r>
      <w:r>
        <w:rPr>
          <w:color w:val="231F20"/>
        </w:rPr>
        <w:t>ele</w:t>
      </w:r>
      <w:r>
        <w:rPr>
          <w:color w:val="231F20"/>
          <w:spacing w:val="-4"/>
        </w:rPr>
        <w:t> </w:t>
      </w:r>
      <w:r>
        <w:rPr>
          <w:color w:val="231F20"/>
        </w:rPr>
        <w:t>alınan</w:t>
      </w:r>
      <w:r>
        <w:rPr>
          <w:color w:val="231F20"/>
          <w:spacing w:val="-4"/>
        </w:rPr>
        <w:t> </w:t>
      </w:r>
      <w:r>
        <w:rPr>
          <w:color w:val="231F20"/>
        </w:rPr>
        <w:t>bu</w:t>
      </w:r>
      <w:r>
        <w:rPr>
          <w:color w:val="231F20"/>
          <w:spacing w:val="-3"/>
        </w:rPr>
        <w:t> </w:t>
      </w:r>
      <w:r>
        <w:rPr>
          <w:color w:val="231F20"/>
        </w:rPr>
        <w:t>kavramın</w:t>
      </w:r>
      <w:r>
        <w:rPr>
          <w:color w:val="231F20"/>
          <w:spacing w:val="-4"/>
        </w:rPr>
        <w:t> </w:t>
      </w:r>
      <w:r>
        <w:rPr>
          <w:color w:val="231F20"/>
        </w:rPr>
        <w:t>önemi</w:t>
      </w:r>
      <w:r>
        <w:rPr>
          <w:color w:val="231F20"/>
          <w:spacing w:val="-4"/>
        </w:rPr>
        <w:t> </w:t>
      </w:r>
      <w:r>
        <w:rPr>
          <w:color w:val="231F20"/>
        </w:rPr>
        <w:t>pandemiyle</w:t>
      </w:r>
      <w:r>
        <w:rPr>
          <w:color w:val="231F20"/>
          <w:spacing w:val="-4"/>
        </w:rPr>
        <w:t> </w:t>
      </w:r>
      <w:r>
        <w:rPr>
          <w:color w:val="231F20"/>
        </w:rPr>
        <w:t>birlikte</w:t>
      </w:r>
      <w:r>
        <w:rPr>
          <w:color w:val="231F20"/>
          <w:spacing w:val="-4"/>
        </w:rPr>
        <w:t> </w:t>
      </w:r>
      <w:r>
        <w:rPr>
          <w:color w:val="231F20"/>
        </w:rPr>
        <w:t>daha</w:t>
      </w:r>
      <w:r>
        <w:rPr>
          <w:color w:val="231F20"/>
          <w:spacing w:val="-4"/>
        </w:rPr>
        <w:t> </w:t>
      </w:r>
      <w:r>
        <w:rPr>
          <w:color w:val="231F20"/>
        </w:rPr>
        <w:t>çok</w:t>
      </w:r>
      <w:r>
        <w:rPr>
          <w:color w:val="231F20"/>
          <w:spacing w:val="-3"/>
        </w:rPr>
        <w:t> </w:t>
      </w:r>
      <w:r>
        <w:rPr>
          <w:color w:val="231F20"/>
        </w:rPr>
        <w:t>hissedilmiş ve diğer liderlik türlerine göre ön plana çıkmıştır.</w:t>
      </w:r>
    </w:p>
    <w:p>
      <w:pPr>
        <w:pStyle w:val="BodyText"/>
        <w:spacing w:before="119"/>
        <w:ind w:left="819"/>
        <w:jc w:val="both"/>
      </w:pPr>
      <w:r>
        <w:rPr>
          <w:color w:val="231F20"/>
        </w:rPr>
        <w:t>Çevik liderlik için temel nitelikler maddeler halinde sunulmuştur.</w:t>
      </w:r>
    </w:p>
    <w:p>
      <w:pPr>
        <w:pStyle w:val="ListParagraph"/>
        <w:numPr>
          <w:ilvl w:val="0"/>
          <w:numId w:val="2"/>
        </w:numPr>
        <w:tabs>
          <w:tab w:pos="536" w:val="left" w:leader="none"/>
        </w:tabs>
        <w:spacing w:line="249" w:lineRule="auto" w:before="123" w:after="0"/>
        <w:ind w:left="535" w:right="249" w:hanging="284"/>
        <w:jc w:val="both"/>
        <w:rPr>
          <w:sz w:val="20"/>
        </w:rPr>
      </w:pPr>
      <w:r>
        <w:rPr>
          <w:color w:val="231F20"/>
          <w:sz w:val="20"/>
        </w:rPr>
        <w:t>Açık</w:t>
      </w:r>
      <w:r>
        <w:rPr>
          <w:color w:val="231F20"/>
          <w:spacing w:val="-9"/>
          <w:sz w:val="20"/>
        </w:rPr>
        <w:t> </w:t>
      </w:r>
      <w:r>
        <w:rPr>
          <w:color w:val="231F20"/>
          <w:sz w:val="20"/>
        </w:rPr>
        <w:t>olma:</w:t>
      </w:r>
      <w:r>
        <w:rPr>
          <w:color w:val="231F20"/>
          <w:spacing w:val="-8"/>
          <w:sz w:val="20"/>
        </w:rPr>
        <w:t> </w:t>
      </w:r>
      <w:r>
        <w:rPr>
          <w:color w:val="231F20"/>
          <w:sz w:val="20"/>
        </w:rPr>
        <w:t>Çeviklik</w:t>
      </w:r>
      <w:r>
        <w:rPr>
          <w:color w:val="231F20"/>
          <w:spacing w:val="-8"/>
          <w:sz w:val="20"/>
        </w:rPr>
        <w:t> </w:t>
      </w:r>
      <w:r>
        <w:rPr>
          <w:color w:val="231F20"/>
          <w:sz w:val="20"/>
        </w:rPr>
        <w:t>değişime,</w:t>
      </w:r>
      <w:r>
        <w:rPr>
          <w:color w:val="231F20"/>
          <w:spacing w:val="-9"/>
          <w:sz w:val="20"/>
        </w:rPr>
        <w:t> </w:t>
      </w:r>
      <w:r>
        <w:rPr>
          <w:color w:val="231F20"/>
          <w:sz w:val="20"/>
        </w:rPr>
        <w:t>yeniliklere</w:t>
      </w:r>
      <w:r>
        <w:rPr>
          <w:color w:val="231F20"/>
          <w:spacing w:val="-8"/>
          <w:sz w:val="20"/>
        </w:rPr>
        <w:t> </w:t>
      </w:r>
      <w:r>
        <w:rPr>
          <w:color w:val="231F20"/>
          <w:sz w:val="20"/>
        </w:rPr>
        <w:t>ve</w:t>
      </w:r>
      <w:r>
        <w:rPr>
          <w:color w:val="231F20"/>
          <w:spacing w:val="-8"/>
          <w:sz w:val="20"/>
        </w:rPr>
        <w:t> </w:t>
      </w:r>
      <w:r>
        <w:rPr>
          <w:color w:val="231F20"/>
          <w:sz w:val="20"/>
        </w:rPr>
        <w:t>geri</w:t>
      </w:r>
      <w:r>
        <w:rPr>
          <w:color w:val="231F20"/>
          <w:spacing w:val="-8"/>
          <w:sz w:val="20"/>
        </w:rPr>
        <w:t> </w:t>
      </w:r>
      <w:r>
        <w:rPr>
          <w:color w:val="231F20"/>
          <w:sz w:val="20"/>
        </w:rPr>
        <w:t>bildirimlere</w:t>
      </w:r>
      <w:r>
        <w:rPr>
          <w:color w:val="231F20"/>
          <w:spacing w:val="-9"/>
          <w:sz w:val="20"/>
        </w:rPr>
        <w:t> </w:t>
      </w:r>
      <w:r>
        <w:rPr>
          <w:color w:val="231F20"/>
          <w:sz w:val="20"/>
        </w:rPr>
        <w:t>(iki</w:t>
      </w:r>
      <w:r>
        <w:rPr>
          <w:color w:val="231F20"/>
          <w:spacing w:val="-8"/>
          <w:sz w:val="20"/>
        </w:rPr>
        <w:t> </w:t>
      </w:r>
      <w:r>
        <w:rPr>
          <w:color w:val="231F20"/>
          <w:sz w:val="20"/>
        </w:rPr>
        <w:t>taraflı</w:t>
      </w:r>
      <w:r>
        <w:rPr>
          <w:color w:val="231F20"/>
          <w:spacing w:val="-8"/>
          <w:sz w:val="20"/>
        </w:rPr>
        <w:t> </w:t>
      </w:r>
      <w:r>
        <w:rPr>
          <w:color w:val="231F20"/>
          <w:sz w:val="20"/>
        </w:rPr>
        <w:t>istişare</w:t>
      </w:r>
      <w:r>
        <w:rPr>
          <w:color w:val="231F20"/>
          <w:spacing w:val="-9"/>
          <w:sz w:val="20"/>
        </w:rPr>
        <w:t> </w:t>
      </w:r>
      <w:r>
        <w:rPr>
          <w:color w:val="231F20"/>
          <w:sz w:val="20"/>
        </w:rPr>
        <w:t>veya</w:t>
      </w:r>
      <w:r>
        <w:rPr>
          <w:color w:val="231F20"/>
          <w:spacing w:val="-8"/>
          <w:sz w:val="20"/>
        </w:rPr>
        <w:t> </w:t>
      </w:r>
      <w:r>
        <w:rPr>
          <w:color w:val="231F20"/>
          <w:sz w:val="20"/>
        </w:rPr>
        <w:t>görüş alışverişi) açık olmayı gerektirir. Çevik lider değişimi öncelikle kendisi kabul eder ve bu doğrultuda çalışanları cesaretlendirerek değişimi kabul etmelerini sağlar. Yeni gelişmeleri, bilimi, teknolojiyi, mesleki hareketliliği dikkatle takip eder ve vakit kaybetmeden örgüte uyarlar (Highsmith, 2002; Hanson, 2020; Sarıçam,</w:t>
      </w:r>
      <w:r>
        <w:rPr>
          <w:color w:val="231F20"/>
          <w:spacing w:val="-4"/>
          <w:sz w:val="20"/>
        </w:rPr>
        <w:t> </w:t>
      </w:r>
      <w:r>
        <w:rPr>
          <w:color w:val="231F20"/>
          <w:sz w:val="20"/>
        </w:rPr>
        <w:t>2017).</w:t>
      </w:r>
    </w:p>
    <w:p>
      <w:pPr>
        <w:pStyle w:val="ListParagraph"/>
        <w:numPr>
          <w:ilvl w:val="0"/>
          <w:numId w:val="2"/>
        </w:numPr>
        <w:tabs>
          <w:tab w:pos="536" w:val="left" w:leader="none"/>
        </w:tabs>
        <w:spacing w:line="249" w:lineRule="auto" w:before="118" w:after="0"/>
        <w:ind w:left="535" w:right="250" w:hanging="284"/>
        <w:jc w:val="both"/>
        <w:rPr>
          <w:sz w:val="20"/>
        </w:rPr>
      </w:pPr>
      <w:r>
        <w:rPr>
          <w:color w:val="231F20"/>
          <w:sz w:val="20"/>
        </w:rPr>
        <w:t>Kabullenme: Çevik lider değişimi bir fırsat olarak görür ve değişim vizyonu yaratır. Tüm çalışanları bu vizyona motive ederek uyum ve birliktelik sağlar (Bellack, 2020; Sarıçam, 2017).</w:t>
      </w:r>
    </w:p>
    <w:p>
      <w:pPr>
        <w:pStyle w:val="ListParagraph"/>
        <w:numPr>
          <w:ilvl w:val="0"/>
          <w:numId w:val="2"/>
        </w:numPr>
        <w:tabs>
          <w:tab w:pos="536" w:val="left" w:leader="none"/>
        </w:tabs>
        <w:spacing w:line="249" w:lineRule="auto" w:before="116" w:after="0"/>
        <w:ind w:left="535" w:right="249" w:hanging="284"/>
        <w:jc w:val="both"/>
        <w:rPr>
          <w:sz w:val="20"/>
        </w:rPr>
      </w:pPr>
      <w:r>
        <w:rPr>
          <w:color w:val="231F20"/>
          <w:sz w:val="20"/>
        </w:rPr>
        <w:t>İş birliği: Çevik lider hiyerarşiden ziyade işbirlikçi bir ağ oluşturmayı tercih eder. Uygun gördüğü</w:t>
      </w:r>
      <w:r>
        <w:rPr>
          <w:color w:val="231F20"/>
          <w:spacing w:val="-12"/>
          <w:sz w:val="20"/>
        </w:rPr>
        <w:t> </w:t>
      </w:r>
      <w:r>
        <w:rPr>
          <w:color w:val="231F20"/>
          <w:sz w:val="20"/>
        </w:rPr>
        <w:t>her</w:t>
      </w:r>
      <w:r>
        <w:rPr>
          <w:color w:val="231F20"/>
          <w:spacing w:val="-11"/>
          <w:sz w:val="20"/>
        </w:rPr>
        <w:t> </w:t>
      </w:r>
      <w:r>
        <w:rPr>
          <w:color w:val="231F20"/>
          <w:sz w:val="20"/>
        </w:rPr>
        <w:t>konuda</w:t>
      </w:r>
      <w:r>
        <w:rPr>
          <w:color w:val="231F20"/>
          <w:spacing w:val="-12"/>
          <w:sz w:val="20"/>
        </w:rPr>
        <w:t> </w:t>
      </w:r>
      <w:r>
        <w:rPr>
          <w:color w:val="231F20"/>
          <w:sz w:val="20"/>
        </w:rPr>
        <w:t>personelin</w:t>
      </w:r>
      <w:r>
        <w:rPr>
          <w:color w:val="231F20"/>
          <w:spacing w:val="-11"/>
          <w:sz w:val="20"/>
        </w:rPr>
        <w:t> </w:t>
      </w:r>
      <w:r>
        <w:rPr>
          <w:color w:val="231F20"/>
          <w:sz w:val="20"/>
        </w:rPr>
        <w:t>düşüncesini</w:t>
      </w:r>
      <w:r>
        <w:rPr>
          <w:color w:val="231F20"/>
          <w:spacing w:val="-12"/>
          <w:sz w:val="20"/>
        </w:rPr>
        <w:t> </w:t>
      </w:r>
      <w:r>
        <w:rPr>
          <w:color w:val="231F20"/>
          <w:sz w:val="20"/>
        </w:rPr>
        <w:t>alır</w:t>
      </w:r>
      <w:r>
        <w:rPr>
          <w:color w:val="231F20"/>
          <w:spacing w:val="-11"/>
          <w:sz w:val="20"/>
        </w:rPr>
        <w:t> </w:t>
      </w:r>
      <w:r>
        <w:rPr>
          <w:color w:val="231F20"/>
          <w:sz w:val="20"/>
        </w:rPr>
        <w:t>ve</w:t>
      </w:r>
      <w:r>
        <w:rPr>
          <w:color w:val="231F20"/>
          <w:spacing w:val="-12"/>
          <w:sz w:val="20"/>
        </w:rPr>
        <w:t> </w:t>
      </w:r>
      <w:r>
        <w:rPr>
          <w:color w:val="231F20"/>
          <w:sz w:val="20"/>
        </w:rPr>
        <w:t>fikir</w:t>
      </w:r>
      <w:r>
        <w:rPr>
          <w:color w:val="231F20"/>
          <w:spacing w:val="-11"/>
          <w:sz w:val="20"/>
        </w:rPr>
        <w:t> </w:t>
      </w:r>
      <w:r>
        <w:rPr>
          <w:color w:val="231F20"/>
          <w:sz w:val="20"/>
        </w:rPr>
        <w:t>alışverişinde</w:t>
      </w:r>
      <w:r>
        <w:rPr>
          <w:color w:val="231F20"/>
          <w:spacing w:val="-12"/>
          <w:sz w:val="20"/>
        </w:rPr>
        <w:t> </w:t>
      </w:r>
      <w:r>
        <w:rPr>
          <w:color w:val="231F20"/>
          <w:sz w:val="20"/>
        </w:rPr>
        <w:t>bulunur.</w:t>
      </w:r>
      <w:r>
        <w:rPr>
          <w:color w:val="231F20"/>
          <w:spacing w:val="-11"/>
          <w:sz w:val="20"/>
        </w:rPr>
        <w:t> </w:t>
      </w:r>
      <w:r>
        <w:rPr>
          <w:color w:val="231F20"/>
          <w:sz w:val="20"/>
        </w:rPr>
        <w:t>Ekip</w:t>
      </w:r>
      <w:r>
        <w:rPr>
          <w:color w:val="231F20"/>
          <w:spacing w:val="-12"/>
          <w:sz w:val="20"/>
        </w:rPr>
        <w:t> </w:t>
      </w:r>
      <w:r>
        <w:rPr>
          <w:color w:val="231F20"/>
          <w:sz w:val="20"/>
        </w:rPr>
        <w:t>çalışma- sını merkeze alır. Ekibiyle birlikte kararlar alır ve ekibi yetkilendirir (Zink, 2020; Sarıçam, 2017).</w:t>
      </w:r>
    </w:p>
    <w:p>
      <w:pPr>
        <w:spacing w:after="0" w:line="249" w:lineRule="auto"/>
        <w:jc w:val="both"/>
        <w:rPr>
          <w:sz w:val="20"/>
        </w:rPr>
        <w:sectPr>
          <w:pgSz w:w="9530" w:h="13610"/>
          <w:pgMar w:header="860" w:footer="344" w:top="1060" w:bottom="540" w:left="740" w:right="740"/>
        </w:sectPr>
      </w:pPr>
    </w:p>
    <w:p>
      <w:pPr>
        <w:pStyle w:val="BodyText"/>
      </w:pPr>
    </w:p>
    <w:p>
      <w:pPr>
        <w:pStyle w:val="BodyText"/>
        <w:spacing w:before="1"/>
      </w:pPr>
    </w:p>
    <w:p>
      <w:pPr>
        <w:pStyle w:val="ListParagraph"/>
        <w:numPr>
          <w:ilvl w:val="0"/>
          <w:numId w:val="2"/>
        </w:numPr>
        <w:tabs>
          <w:tab w:pos="536" w:val="left" w:leader="none"/>
        </w:tabs>
        <w:spacing w:line="249" w:lineRule="auto" w:before="1" w:after="0"/>
        <w:ind w:left="535" w:right="250" w:hanging="284"/>
        <w:jc w:val="both"/>
        <w:rPr>
          <w:sz w:val="20"/>
        </w:rPr>
      </w:pPr>
      <w:r>
        <w:rPr>
          <w:color w:val="231F20"/>
          <w:sz w:val="20"/>
        </w:rPr>
        <w:t>Sürekli öğrenme: Çevik lider çalışanların öneri ve fikirlerine ilgi gösterir ve değer verir. Farklı bakış açılarından faydalanarak kendini sürekli geliştirir ve yeniler. Pepsi’nin yöne- tim kurulu başkanı ve CEO’sunun “en güçlü liderler hayatları boyunca öğrenci olanlardır” şeklindeki ifadesi ile bu niteliğin önemi vurgulanmıştır (Franz, 2020; Sarıçam,</w:t>
      </w:r>
      <w:r>
        <w:rPr>
          <w:color w:val="231F20"/>
          <w:spacing w:val="-11"/>
          <w:sz w:val="20"/>
        </w:rPr>
        <w:t> </w:t>
      </w:r>
      <w:r>
        <w:rPr>
          <w:color w:val="231F20"/>
          <w:sz w:val="20"/>
        </w:rPr>
        <w:t>2017).</w:t>
      </w:r>
    </w:p>
    <w:p>
      <w:pPr>
        <w:pStyle w:val="ListParagraph"/>
        <w:numPr>
          <w:ilvl w:val="0"/>
          <w:numId w:val="2"/>
        </w:numPr>
        <w:tabs>
          <w:tab w:pos="536" w:val="left" w:leader="none"/>
        </w:tabs>
        <w:spacing w:line="249" w:lineRule="auto" w:before="116" w:after="0"/>
        <w:ind w:left="535" w:right="250" w:hanging="284"/>
        <w:jc w:val="both"/>
        <w:rPr>
          <w:sz w:val="20"/>
        </w:rPr>
      </w:pPr>
      <w:r>
        <w:rPr>
          <w:color w:val="231F20"/>
          <w:sz w:val="20"/>
        </w:rPr>
        <w:t>Dayanıklı olma: Türkçede dayanıklılık olarak ifade edilen “resilience” olumsuz durumlar ve zorluklar karşısında pozitif kalmak, yapıcı olmak ve sağlıklı ruh halini koruyabilmek anlamına gelmektedir. Sorunları çözmek için proaktif bir yaklaşım kullanma yeteneğidir. Ekiplerin ve organizasyonların başarılı olmasında kritik bir öneme sahiptir. Örgütlerin ve ekiplerin dayanıklılığı psikolojik dayanaklılığı yüksek liderlerle mümkündür. Psikolojik dayanıklılık seviyesi yüksek liderlerin özellikleri; iş birlikçi ruha sahip olma, belirsizliğe tahammül etme ve yeniliklere kolay uyum sağlama, duygusal dengeyi koruma ve kararlı olmaktır (Breen, 2017; Gallotti, 2021; Gleeson, 2021; Abelli, 2021; Güven,</w:t>
      </w:r>
      <w:r>
        <w:rPr>
          <w:color w:val="231F20"/>
          <w:spacing w:val="-15"/>
          <w:sz w:val="20"/>
        </w:rPr>
        <w:t> </w:t>
      </w:r>
      <w:r>
        <w:rPr>
          <w:color w:val="231F20"/>
          <w:sz w:val="20"/>
        </w:rPr>
        <w:t>2021).</w:t>
      </w:r>
    </w:p>
    <w:p>
      <w:pPr>
        <w:pStyle w:val="ListParagraph"/>
        <w:numPr>
          <w:ilvl w:val="0"/>
          <w:numId w:val="2"/>
        </w:numPr>
        <w:tabs>
          <w:tab w:pos="536" w:val="left" w:leader="none"/>
        </w:tabs>
        <w:spacing w:line="249" w:lineRule="auto" w:before="120" w:after="0"/>
        <w:ind w:left="535" w:right="248" w:hanging="284"/>
        <w:jc w:val="both"/>
        <w:rPr>
          <w:sz w:val="20"/>
        </w:rPr>
      </w:pPr>
      <w:r>
        <w:rPr>
          <w:color w:val="231F20"/>
          <w:sz w:val="20"/>
        </w:rPr>
        <w:t>Empati yapma: Empati farklı açılardan değerlendirmeler yapılmasına kapı açar ve daha geniş bir bakış açısı sağlar. Steve Jobs “İnsanları doğru anlamak ve doğru değerlendirmek için önyargılardan arındırılmış empati, iş dünyasında çoğu zaman hayat kurtarır” ifadesini kullanmıştır</w:t>
      </w:r>
      <w:r>
        <w:rPr>
          <w:color w:val="231F20"/>
          <w:spacing w:val="-4"/>
          <w:sz w:val="20"/>
        </w:rPr>
        <w:t> </w:t>
      </w:r>
      <w:r>
        <w:rPr>
          <w:color w:val="231F20"/>
          <w:sz w:val="20"/>
        </w:rPr>
        <w:t>(Sarıçam,</w:t>
      </w:r>
      <w:r>
        <w:rPr>
          <w:color w:val="231F20"/>
          <w:spacing w:val="-4"/>
          <w:sz w:val="20"/>
        </w:rPr>
        <w:t> </w:t>
      </w:r>
      <w:r>
        <w:rPr>
          <w:color w:val="231F20"/>
          <w:sz w:val="20"/>
        </w:rPr>
        <w:t>2017).</w:t>
      </w:r>
      <w:r>
        <w:rPr>
          <w:color w:val="231F20"/>
          <w:spacing w:val="-4"/>
          <w:sz w:val="20"/>
        </w:rPr>
        <w:t> </w:t>
      </w:r>
      <w:r>
        <w:rPr>
          <w:color w:val="231F20"/>
          <w:sz w:val="20"/>
        </w:rPr>
        <w:t>Empati</w:t>
      </w:r>
      <w:r>
        <w:rPr>
          <w:color w:val="231F20"/>
          <w:spacing w:val="-4"/>
          <w:sz w:val="20"/>
        </w:rPr>
        <w:t> </w:t>
      </w:r>
      <w:r>
        <w:rPr>
          <w:color w:val="231F20"/>
          <w:sz w:val="20"/>
        </w:rPr>
        <w:t>önemli</w:t>
      </w:r>
      <w:r>
        <w:rPr>
          <w:color w:val="231F20"/>
          <w:spacing w:val="-4"/>
          <w:sz w:val="20"/>
        </w:rPr>
        <w:t> </w:t>
      </w:r>
      <w:r>
        <w:rPr>
          <w:color w:val="231F20"/>
          <w:sz w:val="20"/>
        </w:rPr>
        <w:t>bir</w:t>
      </w:r>
      <w:r>
        <w:rPr>
          <w:color w:val="231F20"/>
          <w:spacing w:val="-4"/>
          <w:sz w:val="20"/>
        </w:rPr>
        <w:t> </w:t>
      </w:r>
      <w:r>
        <w:rPr>
          <w:color w:val="231F20"/>
          <w:sz w:val="20"/>
        </w:rPr>
        <w:t>düşünce</w:t>
      </w:r>
      <w:r>
        <w:rPr>
          <w:color w:val="231F20"/>
          <w:spacing w:val="-4"/>
          <w:sz w:val="20"/>
        </w:rPr>
        <w:t> </w:t>
      </w:r>
      <w:r>
        <w:rPr>
          <w:color w:val="231F20"/>
          <w:sz w:val="20"/>
        </w:rPr>
        <w:t>biçimidir.</w:t>
      </w:r>
      <w:r>
        <w:rPr>
          <w:color w:val="231F20"/>
          <w:spacing w:val="-4"/>
          <w:sz w:val="20"/>
        </w:rPr>
        <w:t> </w:t>
      </w:r>
      <w:r>
        <w:rPr>
          <w:color w:val="231F20"/>
          <w:sz w:val="20"/>
        </w:rPr>
        <w:t>Çevik</w:t>
      </w:r>
      <w:r>
        <w:rPr>
          <w:color w:val="231F20"/>
          <w:spacing w:val="-4"/>
          <w:sz w:val="20"/>
        </w:rPr>
        <w:t> </w:t>
      </w:r>
      <w:r>
        <w:rPr>
          <w:color w:val="231F20"/>
          <w:sz w:val="20"/>
        </w:rPr>
        <w:t>liderler</w:t>
      </w:r>
      <w:r>
        <w:rPr>
          <w:color w:val="231F20"/>
          <w:spacing w:val="-4"/>
          <w:sz w:val="20"/>
        </w:rPr>
        <w:t> </w:t>
      </w:r>
      <w:r>
        <w:rPr>
          <w:color w:val="231F20"/>
          <w:sz w:val="20"/>
        </w:rPr>
        <w:t>olumsuz tepkiler</w:t>
      </w:r>
      <w:r>
        <w:rPr>
          <w:color w:val="231F20"/>
          <w:spacing w:val="-5"/>
          <w:sz w:val="20"/>
        </w:rPr>
        <w:t> </w:t>
      </w:r>
      <w:r>
        <w:rPr>
          <w:color w:val="231F20"/>
          <w:sz w:val="20"/>
        </w:rPr>
        <w:t>karşısında</w:t>
      </w:r>
      <w:r>
        <w:rPr>
          <w:color w:val="231F20"/>
          <w:spacing w:val="-4"/>
          <w:sz w:val="20"/>
        </w:rPr>
        <w:t> </w:t>
      </w:r>
      <w:r>
        <w:rPr>
          <w:color w:val="231F20"/>
          <w:sz w:val="20"/>
        </w:rPr>
        <w:t>kendisini</w:t>
      </w:r>
      <w:r>
        <w:rPr>
          <w:color w:val="231F20"/>
          <w:spacing w:val="-4"/>
          <w:sz w:val="20"/>
        </w:rPr>
        <w:t> </w:t>
      </w:r>
      <w:r>
        <w:rPr>
          <w:color w:val="231F20"/>
          <w:sz w:val="20"/>
        </w:rPr>
        <w:t>personelin</w:t>
      </w:r>
      <w:r>
        <w:rPr>
          <w:color w:val="231F20"/>
          <w:spacing w:val="-5"/>
          <w:sz w:val="20"/>
        </w:rPr>
        <w:t> </w:t>
      </w:r>
      <w:r>
        <w:rPr>
          <w:color w:val="231F20"/>
          <w:sz w:val="20"/>
        </w:rPr>
        <w:t>yerine</w:t>
      </w:r>
      <w:r>
        <w:rPr>
          <w:color w:val="231F20"/>
          <w:spacing w:val="-4"/>
          <w:sz w:val="20"/>
        </w:rPr>
        <w:t> </w:t>
      </w:r>
      <w:r>
        <w:rPr>
          <w:color w:val="231F20"/>
          <w:sz w:val="20"/>
        </w:rPr>
        <w:t>koyup,</w:t>
      </w:r>
      <w:r>
        <w:rPr>
          <w:color w:val="231F20"/>
          <w:spacing w:val="-4"/>
          <w:sz w:val="20"/>
        </w:rPr>
        <w:t> </w:t>
      </w:r>
      <w:r>
        <w:rPr>
          <w:color w:val="231F20"/>
          <w:sz w:val="20"/>
        </w:rPr>
        <w:t>meseleye</w:t>
      </w:r>
      <w:r>
        <w:rPr>
          <w:color w:val="231F20"/>
          <w:spacing w:val="-5"/>
          <w:sz w:val="20"/>
        </w:rPr>
        <w:t> </w:t>
      </w:r>
      <w:r>
        <w:rPr>
          <w:color w:val="231F20"/>
          <w:sz w:val="20"/>
        </w:rPr>
        <w:t>onun</w:t>
      </w:r>
      <w:r>
        <w:rPr>
          <w:color w:val="231F20"/>
          <w:spacing w:val="-4"/>
          <w:sz w:val="20"/>
        </w:rPr>
        <w:t> </w:t>
      </w:r>
      <w:r>
        <w:rPr>
          <w:color w:val="231F20"/>
          <w:sz w:val="20"/>
        </w:rPr>
        <w:t>gözünden</w:t>
      </w:r>
      <w:r>
        <w:rPr>
          <w:color w:val="231F20"/>
          <w:spacing w:val="-4"/>
          <w:sz w:val="20"/>
        </w:rPr>
        <w:t> </w:t>
      </w:r>
      <w:r>
        <w:rPr>
          <w:color w:val="231F20"/>
          <w:spacing w:val="-3"/>
          <w:sz w:val="20"/>
        </w:rPr>
        <w:t>bakabilme- </w:t>
      </w:r>
      <w:r>
        <w:rPr>
          <w:color w:val="231F20"/>
          <w:sz w:val="20"/>
        </w:rPr>
        <w:t>li, onun gibi düşünebilmeli ve her iki taraf için de en uygun çözümü üretebilmelidir.</w:t>
      </w:r>
    </w:p>
    <w:p>
      <w:pPr>
        <w:pStyle w:val="ListParagraph"/>
        <w:numPr>
          <w:ilvl w:val="0"/>
          <w:numId w:val="2"/>
        </w:numPr>
        <w:tabs>
          <w:tab w:pos="536" w:val="left" w:leader="none"/>
        </w:tabs>
        <w:spacing w:line="249" w:lineRule="auto" w:before="119" w:after="0"/>
        <w:ind w:left="535" w:right="249" w:hanging="284"/>
        <w:jc w:val="both"/>
        <w:rPr>
          <w:sz w:val="20"/>
        </w:rPr>
      </w:pPr>
      <w:r>
        <w:rPr>
          <w:color w:val="231F20"/>
          <w:sz w:val="20"/>
        </w:rPr>
        <w:t>Esnek olma: Esneklik adapte olmayı, uyum sağlamayı ve çok yönlü olmayı ifade etmek- tedir (Gunasekaran vd., 2001). Bununla birlikte, esneklik ve çeviklik kavramları karıştırıl- mamalıdır. Çeviklik doğru zamanda uyum sağlayabilmektir (Goranson, 1999). Hem kısa dönemli değişimler (talepteki değişimlere bağlı) hem de uzun dönemli (teknolojik</w:t>
      </w:r>
      <w:r>
        <w:rPr>
          <w:color w:val="231F20"/>
          <w:spacing w:val="-24"/>
          <w:sz w:val="20"/>
        </w:rPr>
        <w:t> </w:t>
      </w:r>
      <w:r>
        <w:rPr>
          <w:color w:val="231F20"/>
          <w:sz w:val="20"/>
        </w:rPr>
        <w:t>ilerleme ve dönüşüm söz konusu) beklenmedik değişimler karşısında başarı için gerekli olan bece- riler toplamıdır. Esneklik ise, kısa dönemli ve beklenen değişimler karşısında operasyonel anlamda</w:t>
      </w:r>
      <w:r>
        <w:rPr>
          <w:color w:val="231F20"/>
          <w:spacing w:val="-11"/>
          <w:sz w:val="20"/>
        </w:rPr>
        <w:t> </w:t>
      </w:r>
      <w:r>
        <w:rPr>
          <w:color w:val="231F20"/>
          <w:sz w:val="20"/>
        </w:rPr>
        <w:t>başarılı</w:t>
      </w:r>
      <w:r>
        <w:rPr>
          <w:color w:val="231F20"/>
          <w:spacing w:val="-10"/>
          <w:sz w:val="20"/>
        </w:rPr>
        <w:t> </w:t>
      </w:r>
      <w:r>
        <w:rPr>
          <w:color w:val="231F20"/>
          <w:sz w:val="20"/>
        </w:rPr>
        <w:t>olmayı</w:t>
      </w:r>
      <w:r>
        <w:rPr>
          <w:color w:val="231F20"/>
          <w:spacing w:val="-11"/>
          <w:sz w:val="20"/>
        </w:rPr>
        <w:t> </w:t>
      </w:r>
      <w:r>
        <w:rPr>
          <w:color w:val="231F20"/>
          <w:sz w:val="20"/>
        </w:rPr>
        <w:t>sağlayan</w:t>
      </w:r>
      <w:r>
        <w:rPr>
          <w:color w:val="231F20"/>
          <w:spacing w:val="-10"/>
          <w:sz w:val="20"/>
        </w:rPr>
        <w:t> </w:t>
      </w:r>
      <w:r>
        <w:rPr>
          <w:color w:val="231F20"/>
          <w:sz w:val="20"/>
        </w:rPr>
        <w:t>beceriler</w:t>
      </w:r>
      <w:r>
        <w:rPr>
          <w:color w:val="231F20"/>
          <w:spacing w:val="-11"/>
          <w:sz w:val="20"/>
        </w:rPr>
        <w:t> </w:t>
      </w:r>
      <w:r>
        <w:rPr>
          <w:color w:val="231F20"/>
          <w:sz w:val="20"/>
        </w:rPr>
        <w:t>toplamıdır</w:t>
      </w:r>
      <w:r>
        <w:rPr>
          <w:color w:val="231F20"/>
          <w:spacing w:val="-10"/>
          <w:sz w:val="20"/>
        </w:rPr>
        <w:t> </w:t>
      </w:r>
      <w:r>
        <w:rPr>
          <w:color w:val="231F20"/>
          <w:sz w:val="20"/>
        </w:rPr>
        <w:t>(Jackson</w:t>
      </w:r>
      <w:r>
        <w:rPr>
          <w:color w:val="231F20"/>
          <w:spacing w:val="-11"/>
          <w:sz w:val="20"/>
        </w:rPr>
        <w:t> </w:t>
      </w:r>
      <w:r>
        <w:rPr>
          <w:color w:val="231F20"/>
          <w:sz w:val="20"/>
        </w:rPr>
        <w:t>&amp;</w:t>
      </w:r>
      <w:r>
        <w:rPr>
          <w:color w:val="231F20"/>
          <w:spacing w:val="-10"/>
          <w:sz w:val="20"/>
        </w:rPr>
        <w:t> </w:t>
      </w:r>
      <w:r>
        <w:rPr>
          <w:color w:val="231F20"/>
          <w:sz w:val="20"/>
        </w:rPr>
        <w:t>Johansson,</w:t>
      </w:r>
      <w:r>
        <w:rPr>
          <w:color w:val="231F20"/>
          <w:spacing w:val="-11"/>
          <w:sz w:val="20"/>
        </w:rPr>
        <w:t> </w:t>
      </w:r>
      <w:r>
        <w:rPr>
          <w:color w:val="231F20"/>
          <w:sz w:val="20"/>
        </w:rPr>
        <w:t>2003).</w:t>
      </w:r>
      <w:r>
        <w:rPr>
          <w:color w:val="231F20"/>
          <w:spacing w:val="-10"/>
          <w:sz w:val="20"/>
        </w:rPr>
        <w:t> </w:t>
      </w:r>
      <w:r>
        <w:rPr>
          <w:color w:val="231F20"/>
          <w:sz w:val="20"/>
        </w:rPr>
        <w:t>Çevik- liğin alt gereksinimi ya da şartıdır (Kidd, 1994; Goranson,</w:t>
      </w:r>
      <w:r>
        <w:rPr>
          <w:color w:val="231F20"/>
          <w:spacing w:val="-5"/>
          <w:sz w:val="20"/>
        </w:rPr>
        <w:t> </w:t>
      </w:r>
      <w:r>
        <w:rPr>
          <w:color w:val="231F20"/>
          <w:sz w:val="20"/>
        </w:rPr>
        <w:t>1999).</w:t>
      </w:r>
    </w:p>
    <w:p>
      <w:pPr>
        <w:pStyle w:val="BodyText"/>
        <w:spacing w:before="3"/>
      </w:pPr>
    </w:p>
    <w:p>
      <w:pPr>
        <w:pStyle w:val="Heading1"/>
        <w:numPr>
          <w:ilvl w:val="0"/>
          <w:numId w:val="1"/>
        </w:numPr>
        <w:tabs>
          <w:tab w:pos="445" w:val="left" w:leader="none"/>
        </w:tabs>
        <w:spacing w:line="240" w:lineRule="auto" w:before="0" w:after="0"/>
        <w:ind w:left="444" w:right="0" w:hanging="194"/>
        <w:jc w:val="left"/>
      </w:pPr>
      <w:r>
        <w:rPr>
          <w:color w:val="034694"/>
        </w:rPr>
        <w:t>Yöntem</w:t>
      </w:r>
    </w:p>
    <w:p>
      <w:pPr>
        <w:pStyle w:val="BodyText"/>
        <w:spacing w:line="249" w:lineRule="auto" w:before="123"/>
        <w:ind w:left="251" w:right="248" w:firstLine="567"/>
        <w:jc w:val="both"/>
      </w:pPr>
      <w:r>
        <w:rPr>
          <w:color w:val="231F20"/>
        </w:rPr>
        <w:t>Araştırmada keşfedici sıralı karma yöntem deseni kullanılmıştır. Bu desende, inceleme altındaki örnekleme en uygun ölçme aracı tasarlamak için öncelikle nitel olarak keşfetme ve bu</w:t>
      </w:r>
      <w:r>
        <w:rPr>
          <w:color w:val="231F20"/>
          <w:spacing w:val="-6"/>
        </w:rPr>
        <w:t> </w:t>
      </w:r>
      <w:r>
        <w:rPr>
          <w:color w:val="231F20"/>
        </w:rPr>
        <w:t>bilgiyi</w:t>
      </w:r>
      <w:r>
        <w:rPr>
          <w:color w:val="231F20"/>
          <w:spacing w:val="-5"/>
        </w:rPr>
        <w:t> </w:t>
      </w:r>
      <w:r>
        <w:rPr>
          <w:color w:val="231F20"/>
        </w:rPr>
        <w:t>kullanarak</w:t>
      </w:r>
      <w:r>
        <w:rPr>
          <w:color w:val="231F20"/>
          <w:spacing w:val="-5"/>
        </w:rPr>
        <w:t> </w:t>
      </w:r>
      <w:r>
        <w:rPr>
          <w:color w:val="231F20"/>
        </w:rPr>
        <w:t>geniş</w:t>
      </w:r>
      <w:r>
        <w:rPr>
          <w:color w:val="231F20"/>
          <w:spacing w:val="-5"/>
        </w:rPr>
        <w:t> </w:t>
      </w:r>
      <w:r>
        <w:rPr>
          <w:color w:val="231F20"/>
        </w:rPr>
        <w:t>bir</w:t>
      </w:r>
      <w:r>
        <w:rPr>
          <w:color w:val="231F20"/>
          <w:spacing w:val="-6"/>
        </w:rPr>
        <w:t> </w:t>
      </w:r>
      <w:r>
        <w:rPr>
          <w:color w:val="231F20"/>
        </w:rPr>
        <w:t>örneklem</w:t>
      </w:r>
      <w:r>
        <w:rPr>
          <w:color w:val="231F20"/>
          <w:spacing w:val="-5"/>
        </w:rPr>
        <w:t> </w:t>
      </w:r>
      <w:r>
        <w:rPr>
          <w:color w:val="231F20"/>
        </w:rPr>
        <w:t>ile</w:t>
      </w:r>
      <w:r>
        <w:rPr>
          <w:color w:val="231F20"/>
          <w:spacing w:val="-5"/>
        </w:rPr>
        <w:t> </w:t>
      </w:r>
      <w:r>
        <w:rPr>
          <w:color w:val="231F20"/>
        </w:rPr>
        <w:t>test</w:t>
      </w:r>
      <w:r>
        <w:rPr>
          <w:color w:val="231F20"/>
          <w:spacing w:val="-5"/>
        </w:rPr>
        <w:t> </w:t>
      </w:r>
      <w:r>
        <w:rPr>
          <w:color w:val="231F20"/>
        </w:rPr>
        <w:t>edilebilecek</w:t>
      </w:r>
      <w:r>
        <w:rPr>
          <w:color w:val="231F20"/>
          <w:spacing w:val="-6"/>
        </w:rPr>
        <w:t> </w:t>
      </w:r>
      <w:r>
        <w:rPr>
          <w:color w:val="231F20"/>
        </w:rPr>
        <w:t>ölçme</w:t>
      </w:r>
      <w:r>
        <w:rPr>
          <w:color w:val="231F20"/>
          <w:spacing w:val="-5"/>
        </w:rPr>
        <w:t> </w:t>
      </w:r>
      <w:r>
        <w:rPr>
          <w:color w:val="231F20"/>
        </w:rPr>
        <w:t>aracı</w:t>
      </w:r>
      <w:r>
        <w:rPr>
          <w:color w:val="231F20"/>
          <w:spacing w:val="-5"/>
        </w:rPr>
        <w:t> </w:t>
      </w:r>
      <w:r>
        <w:rPr>
          <w:color w:val="231F20"/>
        </w:rPr>
        <w:t>tasarlamak</w:t>
      </w:r>
      <w:r>
        <w:rPr>
          <w:color w:val="231F20"/>
          <w:spacing w:val="-5"/>
        </w:rPr>
        <w:t> </w:t>
      </w:r>
      <w:r>
        <w:rPr>
          <w:color w:val="231F20"/>
        </w:rPr>
        <w:t>amaçlanır. Araştırmacı nitel bir araştırmayla başlar, veri toplar (mülakatlar aracılığıyla), bulguları analiz eder (katılımcıların bakış açılarını keşfeder), bulgulara bağlı olarak ölçme aracı geliştirir ve daha sonra bu ölçeği evrenden alınan örnekleme</w:t>
      </w:r>
      <w:r>
        <w:rPr>
          <w:color w:val="231F20"/>
          <w:spacing w:val="-2"/>
        </w:rPr>
        <w:t> </w:t>
      </w:r>
      <w:r>
        <w:rPr>
          <w:color w:val="231F20"/>
        </w:rPr>
        <w:t>uygular.</w:t>
      </w:r>
    </w:p>
    <w:p>
      <w:pPr>
        <w:pStyle w:val="BodyText"/>
        <w:spacing w:line="249" w:lineRule="auto" w:before="119"/>
        <w:ind w:left="251" w:right="249" w:firstLine="567"/>
        <w:jc w:val="both"/>
      </w:pPr>
      <w:r>
        <w:rPr>
          <w:color w:val="231F20"/>
        </w:rPr>
        <w:t>Bu araştırmanın nitel verileri TR 62 (Adana – Mersin) Bölgesinde özel sektörlerde faa- liyet gösteren işletmelerin İnsan Kaynakları departmanında görev yapan 40 personelden yarı yapılandırılmış mülakat aracılığıyla toplanmıştır. Katılımcılardan elde edilen veriler analiz edilmiş,</w:t>
      </w:r>
      <w:r>
        <w:rPr>
          <w:color w:val="231F20"/>
          <w:spacing w:val="-6"/>
        </w:rPr>
        <w:t> </w:t>
      </w:r>
      <w:r>
        <w:rPr>
          <w:color w:val="231F20"/>
        </w:rPr>
        <w:t>veri</w:t>
      </w:r>
      <w:r>
        <w:rPr>
          <w:color w:val="231F20"/>
          <w:spacing w:val="-6"/>
        </w:rPr>
        <w:t> </w:t>
      </w:r>
      <w:r>
        <w:rPr>
          <w:color w:val="231F20"/>
        </w:rPr>
        <w:t>doygunluğuna</w:t>
      </w:r>
      <w:r>
        <w:rPr>
          <w:color w:val="231F20"/>
          <w:spacing w:val="-5"/>
        </w:rPr>
        <w:t> </w:t>
      </w:r>
      <w:r>
        <w:rPr>
          <w:color w:val="231F20"/>
        </w:rPr>
        <w:t>15</w:t>
      </w:r>
      <w:r>
        <w:rPr>
          <w:color w:val="231F20"/>
          <w:spacing w:val="-6"/>
        </w:rPr>
        <w:t> </w:t>
      </w:r>
      <w:r>
        <w:rPr>
          <w:color w:val="231F20"/>
        </w:rPr>
        <w:t>katılımcıda</w:t>
      </w:r>
      <w:r>
        <w:rPr>
          <w:color w:val="231F20"/>
          <w:spacing w:val="-6"/>
        </w:rPr>
        <w:t> </w:t>
      </w:r>
      <w:r>
        <w:rPr>
          <w:color w:val="231F20"/>
        </w:rPr>
        <w:t>ulaşıldığı</w:t>
      </w:r>
      <w:r>
        <w:rPr>
          <w:color w:val="231F20"/>
          <w:spacing w:val="-6"/>
        </w:rPr>
        <w:t> </w:t>
      </w:r>
      <w:r>
        <w:rPr>
          <w:color w:val="231F20"/>
        </w:rPr>
        <w:t>tespit</w:t>
      </w:r>
      <w:r>
        <w:rPr>
          <w:color w:val="231F20"/>
          <w:spacing w:val="-6"/>
        </w:rPr>
        <w:t> </w:t>
      </w:r>
      <w:r>
        <w:rPr>
          <w:color w:val="231F20"/>
        </w:rPr>
        <w:t>edilmiştir.</w:t>
      </w:r>
      <w:r>
        <w:rPr>
          <w:color w:val="231F20"/>
          <w:spacing w:val="-5"/>
        </w:rPr>
        <w:t> </w:t>
      </w:r>
      <w:r>
        <w:rPr>
          <w:color w:val="231F20"/>
        </w:rPr>
        <w:t>Konuyla</w:t>
      </w:r>
      <w:r>
        <w:rPr>
          <w:color w:val="231F20"/>
          <w:spacing w:val="-6"/>
        </w:rPr>
        <w:t> </w:t>
      </w:r>
      <w:r>
        <w:rPr>
          <w:color w:val="231F20"/>
        </w:rPr>
        <w:t>ilgili</w:t>
      </w:r>
      <w:r>
        <w:rPr>
          <w:color w:val="231F20"/>
          <w:spacing w:val="-5"/>
        </w:rPr>
        <w:t> </w:t>
      </w:r>
      <w:r>
        <w:rPr>
          <w:color w:val="231F20"/>
        </w:rPr>
        <w:t>literatürün göz</w:t>
      </w:r>
      <w:r>
        <w:rPr>
          <w:color w:val="231F20"/>
          <w:spacing w:val="-4"/>
        </w:rPr>
        <w:t> </w:t>
      </w:r>
      <w:r>
        <w:rPr>
          <w:color w:val="231F20"/>
        </w:rPr>
        <w:t>önünde</w:t>
      </w:r>
      <w:r>
        <w:rPr>
          <w:color w:val="231F20"/>
          <w:spacing w:val="-4"/>
        </w:rPr>
        <w:t> </w:t>
      </w:r>
      <w:r>
        <w:rPr>
          <w:color w:val="231F20"/>
        </w:rPr>
        <w:t>bulundurulması</w:t>
      </w:r>
      <w:r>
        <w:rPr>
          <w:color w:val="231F20"/>
          <w:spacing w:val="-4"/>
        </w:rPr>
        <w:t> </w:t>
      </w:r>
      <w:r>
        <w:rPr>
          <w:color w:val="231F20"/>
        </w:rPr>
        <w:t>ve</w:t>
      </w:r>
      <w:r>
        <w:rPr>
          <w:color w:val="231F20"/>
          <w:spacing w:val="-4"/>
        </w:rPr>
        <w:t> </w:t>
      </w:r>
      <w:r>
        <w:rPr>
          <w:color w:val="231F20"/>
        </w:rPr>
        <w:t>elde</w:t>
      </w:r>
      <w:r>
        <w:rPr>
          <w:color w:val="231F20"/>
          <w:spacing w:val="-4"/>
        </w:rPr>
        <w:t> </w:t>
      </w:r>
      <w:r>
        <w:rPr>
          <w:color w:val="231F20"/>
        </w:rPr>
        <w:t>edilen</w:t>
      </w:r>
      <w:r>
        <w:rPr>
          <w:color w:val="231F20"/>
          <w:spacing w:val="-4"/>
        </w:rPr>
        <w:t> </w:t>
      </w:r>
      <w:r>
        <w:rPr>
          <w:color w:val="231F20"/>
        </w:rPr>
        <w:t>nitel</w:t>
      </w:r>
      <w:r>
        <w:rPr>
          <w:color w:val="231F20"/>
          <w:spacing w:val="-4"/>
        </w:rPr>
        <w:t> </w:t>
      </w:r>
      <w:r>
        <w:rPr>
          <w:color w:val="231F20"/>
        </w:rPr>
        <w:t>bulgulardan</w:t>
      </w:r>
      <w:r>
        <w:rPr>
          <w:color w:val="231F20"/>
          <w:spacing w:val="-4"/>
        </w:rPr>
        <w:t> </w:t>
      </w:r>
      <w:r>
        <w:rPr>
          <w:color w:val="231F20"/>
        </w:rPr>
        <w:t>hareketle,</w:t>
      </w:r>
      <w:r>
        <w:rPr>
          <w:color w:val="231F20"/>
          <w:spacing w:val="-4"/>
        </w:rPr>
        <w:t> </w:t>
      </w:r>
      <w:r>
        <w:rPr>
          <w:color w:val="231F20"/>
        </w:rPr>
        <w:t>ölçme</w:t>
      </w:r>
      <w:r>
        <w:rPr>
          <w:color w:val="231F20"/>
          <w:spacing w:val="-4"/>
        </w:rPr>
        <w:t> </w:t>
      </w:r>
      <w:r>
        <w:rPr>
          <w:color w:val="231F20"/>
        </w:rPr>
        <w:t>aracı</w:t>
      </w:r>
      <w:r>
        <w:rPr>
          <w:color w:val="231F20"/>
          <w:spacing w:val="-4"/>
        </w:rPr>
        <w:t> </w:t>
      </w:r>
      <w:r>
        <w:rPr>
          <w:color w:val="231F20"/>
        </w:rPr>
        <w:t>tasarlanmış ve sonrasında nicel aşamada ölçme aracının geçerlik ve güvenirliği TR 62 Bölgesinde özel sektörlerde faaliyet gösteren işletmelerde görev yapan çalışanlardan oluşan geniş örneklemler üzerinde online anket formu aracılığıyla test edilmiştir.</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BodyText"/>
        <w:spacing w:line="249" w:lineRule="auto" w:before="1"/>
        <w:ind w:left="252" w:right="249" w:firstLine="567"/>
        <w:jc w:val="both"/>
      </w:pPr>
      <w:r>
        <w:rPr>
          <w:color w:val="231F20"/>
        </w:rPr>
        <w:t>Bu araştırmanın iki farklı örneklem grubu bulunmaktadır. Bir ölçek geliştirme </w:t>
      </w:r>
      <w:r>
        <w:rPr>
          <w:color w:val="231F20"/>
          <w:spacing w:val="-5"/>
        </w:rPr>
        <w:t>söz </w:t>
      </w:r>
      <w:r>
        <w:rPr>
          <w:color w:val="231F20"/>
        </w:rPr>
        <w:t>konusu olduğunda dikkat edilmesi gereken en önemli husus açıklayıcı ve doğrulayıcı faktör analizlerinin aynı örneklem ile yapılmamasının gerekliliğidir. Açıklayıcı faktör analizi için toplanan veri ile keşfedilmiş bir yapının doğrulayıcı faktör analizini yapmak, malumu onayla- maktan</w:t>
      </w:r>
      <w:r>
        <w:rPr>
          <w:color w:val="231F20"/>
          <w:spacing w:val="-4"/>
        </w:rPr>
        <w:t> </w:t>
      </w:r>
      <w:r>
        <w:rPr>
          <w:color w:val="231F20"/>
        </w:rPr>
        <w:t>öteye</w:t>
      </w:r>
      <w:r>
        <w:rPr>
          <w:color w:val="231F20"/>
          <w:spacing w:val="-4"/>
        </w:rPr>
        <w:t> </w:t>
      </w:r>
      <w:r>
        <w:rPr>
          <w:color w:val="231F20"/>
        </w:rPr>
        <w:t>gidemez</w:t>
      </w:r>
      <w:r>
        <w:rPr>
          <w:color w:val="231F20"/>
          <w:spacing w:val="-4"/>
        </w:rPr>
        <w:t> </w:t>
      </w:r>
      <w:r>
        <w:rPr>
          <w:color w:val="231F20"/>
        </w:rPr>
        <w:t>(Suhr,</w:t>
      </w:r>
      <w:r>
        <w:rPr>
          <w:color w:val="231F20"/>
          <w:spacing w:val="-4"/>
        </w:rPr>
        <w:t> </w:t>
      </w:r>
      <w:r>
        <w:rPr>
          <w:color w:val="231F20"/>
        </w:rPr>
        <w:t>2006).</w:t>
      </w:r>
      <w:r>
        <w:rPr>
          <w:color w:val="231F20"/>
          <w:spacing w:val="-4"/>
        </w:rPr>
        <w:t> </w:t>
      </w:r>
      <w:r>
        <w:rPr>
          <w:color w:val="231F20"/>
        </w:rPr>
        <w:t>Açıklayıcı</w:t>
      </w:r>
      <w:r>
        <w:rPr>
          <w:color w:val="231F20"/>
          <w:spacing w:val="-4"/>
        </w:rPr>
        <w:t> </w:t>
      </w:r>
      <w:r>
        <w:rPr>
          <w:color w:val="231F20"/>
        </w:rPr>
        <w:t>Faktör</w:t>
      </w:r>
      <w:r>
        <w:rPr>
          <w:color w:val="231F20"/>
          <w:spacing w:val="-4"/>
        </w:rPr>
        <w:t> </w:t>
      </w:r>
      <w:r>
        <w:rPr>
          <w:color w:val="231F20"/>
        </w:rPr>
        <w:t>Analizi</w:t>
      </w:r>
      <w:r>
        <w:rPr>
          <w:color w:val="231F20"/>
          <w:spacing w:val="-3"/>
        </w:rPr>
        <w:t> </w:t>
      </w:r>
      <w:r>
        <w:rPr>
          <w:color w:val="231F20"/>
        </w:rPr>
        <w:t>(AFA)</w:t>
      </w:r>
      <w:r>
        <w:rPr>
          <w:color w:val="231F20"/>
          <w:spacing w:val="-4"/>
        </w:rPr>
        <w:t> </w:t>
      </w:r>
      <w:r>
        <w:rPr>
          <w:color w:val="231F20"/>
        </w:rPr>
        <w:t>bir</w:t>
      </w:r>
      <w:r>
        <w:rPr>
          <w:color w:val="231F20"/>
          <w:spacing w:val="-4"/>
        </w:rPr>
        <w:t> </w:t>
      </w:r>
      <w:r>
        <w:rPr>
          <w:color w:val="231F20"/>
        </w:rPr>
        <w:t>yapı</w:t>
      </w:r>
      <w:r>
        <w:rPr>
          <w:color w:val="231F20"/>
          <w:spacing w:val="-4"/>
        </w:rPr>
        <w:t> </w:t>
      </w:r>
      <w:r>
        <w:rPr>
          <w:color w:val="231F20"/>
        </w:rPr>
        <w:t>oluşturma</w:t>
      </w:r>
      <w:r>
        <w:rPr>
          <w:color w:val="231F20"/>
          <w:spacing w:val="-4"/>
        </w:rPr>
        <w:t> </w:t>
      </w:r>
      <w:r>
        <w:rPr>
          <w:color w:val="231F20"/>
        </w:rPr>
        <w:t>süre- cidir. Doğrulayıcı Faktör Analizi (DFA) ise yapı ortaya çıkarıldıktan sonra geçerliği sınamaya yöneliktir ve ortaya çıkartılan bu yapının başka ve geniş örneklemler üzerinde test edilmesi şarttır (Costello &amp; Osborne, 2005; Erkuş, 2016; Suhr, 2006; Worthington &amp; Whittaker, 2006; Yaşlıoğlu,</w:t>
      </w:r>
      <w:r>
        <w:rPr>
          <w:color w:val="231F20"/>
          <w:spacing w:val="-7"/>
        </w:rPr>
        <w:t> </w:t>
      </w:r>
      <w:r>
        <w:rPr>
          <w:color w:val="231F20"/>
        </w:rPr>
        <w:t>2017).</w:t>
      </w:r>
      <w:r>
        <w:rPr>
          <w:color w:val="231F20"/>
          <w:spacing w:val="-6"/>
        </w:rPr>
        <w:t> </w:t>
      </w:r>
      <w:r>
        <w:rPr>
          <w:color w:val="231F20"/>
        </w:rPr>
        <w:t>Henson</w:t>
      </w:r>
      <w:r>
        <w:rPr>
          <w:color w:val="231F20"/>
          <w:spacing w:val="-6"/>
        </w:rPr>
        <w:t> </w:t>
      </w:r>
      <w:r>
        <w:rPr>
          <w:color w:val="231F20"/>
        </w:rPr>
        <w:t>&amp;</w:t>
      </w:r>
      <w:r>
        <w:rPr>
          <w:color w:val="231F20"/>
          <w:spacing w:val="-6"/>
        </w:rPr>
        <w:t> </w:t>
      </w:r>
      <w:r>
        <w:rPr>
          <w:color w:val="231F20"/>
        </w:rPr>
        <w:t>Roberts</w:t>
      </w:r>
      <w:r>
        <w:rPr>
          <w:color w:val="231F20"/>
          <w:spacing w:val="-6"/>
        </w:rPr>
        <w:t> </w:t>
      </w:r>
      <w:r>
        <w:rPr>
          <w:color w:val="231F20"/>
        </w:rPr>
        <w:t>(2006)</w:t>
      </w:r>
      <w:r>
        <w:rPr>
          <w:color w:val="231F20"/>
          <w:spacing w:val="-6"/>
        </w:rPr>
        <w:t> </w:t>
      </w:r>
      <w:r>
        <w:rPr>
          <w:color w:val="231F20"/>
        </w:rPr>
        <w:t>AFA’yı</w:t>
      </w:r>
      <w:r>
        <w:rPr>
          <w:color w:val="231F20"/>
          <w:spacing w:val="-6"/>
        </w:rPr>
        <w:t> </w:t>
      </w:r>
      <w:r>
        <w:rPr>
          <w:color w:val="231F20"/>
        </w:rPr>
        <w:t>takip</w:t>
      </w:r>
      <w:r>
        <w:rPr>
          <w:color w:val="231F20"/>
          <w:spacing w:val="-6"/>
        </w:rPr>
        <w:t> </w:t>
      </w:r>
      <w:r>
        <w:rPr>
          <w:color w:val="231F20"/>
        </w:rPr>
        <w:t>eden</w:t>
      </w:r>
      <w:r>
        <w:rPr>
          <w:color w:val="231F20"/>
          <w:spacing w:val="-6"/>
        </w:rPr>
        <w:t> </w:t>
      </w:r>
      <w:r>
        <w:rPr>
          <w:color w:val="231F20"/>
        </w:rPr>
        <w:t>bir</w:t>
      </w:r>
      <w:r>
        <w:rPr>
          <w:color w:val="231F20"/>
          <w:spacing w:val="-6"/>
        </w:rPr>
        <w:t> </w:t>
      </w:r>
      <w:r>
        <w:rPr>
          <w:color w:val="231F20"/>
        </w:rPr>
        <w:t>DFA’nın</w:t>
      </w:r>
      <w:r>
        <w:rPr>
          <w:color w:val="231F20"/>
          <w:spacing w:val="-6"/>
        </w:rPr>
        <w:t> </w:t>
      </w:r>
      <w:r>
        <w:rPr>
          <w:color w:val="231F20"/>
        </w:rPr>
        <w:t>benzer</w:t>
      </w:r>
      <w:r>
        <w:rPr>
          <w:color w:val="231F20"/>
          <w:spacing w:val="-7"/>
        </w:rPr>
        <w:t> </w:t>
      </w:r>
      <w:r>
        <w:rPr>
          <w:color w:val="231F20"/>
        </w:rPr>
        <w:t>özelliklere sahip yeni bir gruptan elde edilen veri setiyle yapılması gerektiğini</w:t>
      </w:r>
      <w:r>
        <w:rPr>
          <w:color w:val="231F20"/>
          <w:spacing w:val="-5"/>
        </w:rPr>
        <w:t> </w:t>
      </w:r>
      <w:r>
        <w:rPr>
          <w:color w:val="231F20"/>
        </w:rPr>
        <w:t>belirtmiştir.</w:t>
      </w:r>
    </w:p>
    <w:p>
      <w:pPr>
        <w:pStyle w:val="BodyText"/>
        <w:spacing w:line="249" w:lineRule="auto" w:before="121"/>
        <w:ind w:left="252" w:right="249" w:firstLine="567"/>
        <w:jc w:val="both"/>
      </w:pPr>
      <w:r>
        <w:rPr>
          <w:color w:val="231F20"/>
        </w:rPr>
        <w:t>Bu doğrultuda bu araştırmada geliştirilen ölçeğin yapısını ortaya koymak amacıyla 1436 katılımcıdan oluşan örneklem grubunun verileri kullanılmış; AFA sonucunda belirlenen yapının geçerliğine kanıt sağlamak ve gözlenen yapının verilerle ne derece uyumlu olduğunu ortaya koymak amacıyla 3805 katılımcının oluşturduğu farklı bir örneklem grubundan elde edilen veriler üzerinden DFA çalışması yapılmıştır.</w:t>
      </w:r>
    </w:p>
    <w:p>
      <w:pPr>
        <w:pStyle w:val="BodyText"/>
        <w:spacing w:line="249" w:lineRule="auto" w:before="118"/>
        <w:ind w:left="252" w:right="249" w:firstLine="567"/>
        <w:jc w:val="both"/>
      </w:pPr>
      <w:r>
        <w:rPr>
          <w:color w:val="231F20"/>
        </w:rPr>
        <w:t>Nitel verilerin elde edilmesinde yarı yapılandırılmış mülakat formu; nicel verilerin</w:t>
      </w:r>
      <w:r>
        <w:rPr>
          <w:color w:val="231F20"/>
          <w:spacing w:val="-24"/>
        </w:rPr>
        <w:t> </w:t>
      </w:r>
      <w:r>
        <w:rPr>
          <w:color w:val="231F20"/>
        </w:rPr>
        <w:t>elde edilmesinde online anket formu kullanılmıştır. Yarı yapılandırılmış mülakat formunda Mor- gan (2020)’ın “The Future Leader” isimli çalışmasından uyarlanan 10 adet açık uçlu soru yer almaktadır. Online anket formunda araştırmacı tarafından geliştirilen Çevik Liderlik Becerisi Algısı Ölçeği (</w:t>
      </w:r>
      <w:r>
        <w:rPr>
          <w:b/>
          <w:color w:val="231F20"/>
        </w:rPr>
        <w:t>EK</w:t>
      </w:r>
      <w:r>
        <w:rPr>
          <w:color w:val="231F20"/>
        </w:rPr>
        <w:t>), Yurdasever (2019) tarafından geliştirilen KOMB Ölçeği ve demografik sorular yer</w:t>
      </w:r>
      <w:r>
        <w:rPr>
          <w:color w:val="231F20"/>
          <w:spacing w:val="-2"/>
        </w:rPr>
        <w:t> </w:t>
      </w:r>
      <w:r>
        <w:rPr>
          <w:color w:val="231F20"/>
        </w:rPr>
        <w:t>almaktadır.</w:t>
      </w:r>
    </w:p>
    <w:p>
      <w:pPr>
        <w:pStyle w:val="BodyText"/>
        <w:spacing w:line="249" w:lineRule="auto" w:before="118"/>
        <w:ind w:left="252" w:right="249" w:firstLine="567"/>
        <w:jc w:val="both"/>
      </w:pPr>
      <w:r>
        <w:rPr>
          <w:color w:val="231F20"/>
        </w:rPr>
        <w:t>Araştırmanın</w:t>
      </w:r>
      <w:r>
        <w:rPr>
          <w:color w:val="231F20"/>
          <w:spacing w:val="-10"/>
        </w:rPr>
        <w:t> </w:t>
      </w:r>
      <w:r>
        <w:rPr>
          <w:color w:val="231F20"/>
        </w:rPr>
        <w:t>nitel</w:t>
      </w:r>
      <w:r>
        <w:rPr>
          <w:color w:val="231F20"/>
          <w:spacing w:val="-10"/>
        </w:rPr>
        <w:t> </w:t>
      </w:r>
      <w:r>
        <w:rPr>
          <w:color w:val="231F20"/>
        </w:rPr>
        <w:t>verilerinin</w:t>
      </w:r>
      <w:r>
        <w:rPr>
          <w:color w:val="231F20"/>
          <w:spacing w:val="-10"/>
        </w:rPr>
        <w:t> </w:t>
      </w:r>
      <w:r>
        <w:rPr>
          <w:color w:val="231F20"/>
        </w:rPr>
        <w:t>analiz</w:t>
      </w:r>
      <w:r>
        <w:rPr>
          <w:color w:val="231F20"/>
          <w:spacing w:val="-10"/>
        </w:rPr>
        <w:t> </w:t>
      </w:r>
      <w:r>
        <w:rPr>
          <w:color w:val="231F20"/>
        </w:rPr>
        <w:t>edilmesinde</w:t>
      </w:r>
      <w:r>
        <w:rPr>
          <w:color w:val="231F20"/>
          <w:spacing w:val="-10"/>
        </w:rPr>
        <w:t> </w:t>
      </w:r>
      <w:r>
        <w:rPr>
          <w:color w:val="231F20"/>
        </w:rPr>
        <w:t>ATLAS.ti</w:t>
      </w:r>
      <w:r>
        <w:rPr>
          <w:color w:val="231F20"/>
          <w:spacing w:val="-10"/>
        </w:rPr>
        <w:t> </w:t>
      </w:r>
      <w:r>
        <w:rPr>
          <w:color w:val="231F20"/>
        </w:rPr>
        <w:t>9</w:t>
      </w:r>
      <w:r>
        <w:rPr>
          <w:color w:val="231F20"/>
          <w:spacing w:val="-9"/>
        </w:rPr>
        <w:t> </w:t>
      </w:r>
      <w:r>
        <w:rPr>
          <w:color w:val="231F20"/>
        </w:rPr>
        <w:t>demo</w:t>
      </w:r>
      <w:r>
        <w:rPr>
          <w:color w:val="231F20"/>
          <w:spacing w:val="-10"/>
        </w:rPr>
        <w:t> </w:t>
      </w:r>
      <w:r>
        <w:rPr>
          <w:color w:val="231F20"/>
        </w:rPr>
        <w:t>paket</w:t>
      </w:r>
      <w:r>
        <w:rPr>
          <w:color w:val="231F20"/>
          <w:spacing w:val="-10"/>
        </w:rPr>
        <w:t> </w:t>
      </w:r>
      <w:r>
        <w:rPr>
          <w:color w:val="231F20"/>
        </w:rPr>
        <w:t>programından yararlanılmıştır.</w:t>
      </w:r>
      <w:r>
        <w:rPr>
          <w:color w:val="231F20"/>
          <w:spacing w:val="-10"/>
        </w:rPr>
        <w:t> </w:t>
      </w:r>
      <w:r>
        <w:rPr>
          <w:color w:val="231F20"/>
        </w:rPr>
        <w:t>Nicel</w:t>
      </w:r>
      <w:r>
        <w:rPr>
          <w:color w:val="231F20"/>
          <w:spacing w:val="-10"/>
        </w:rPr>
        <w:t> </w:t>
      </w:r>
      <w:r>
        <w:rPr>
          <w:color w:val="231F20"/>
        </w:rPr>
        <w:t>verilerin</w:t>
      </w:r>
      <w:r>
        <w:rPr>
          <w:color w:val="231F20"/>
          <w:spacing w:val="-10"/>
        </w:rPr>
        <w:t> </w:t>
      </w:r>
      <w:r>
        <w:rPr>
          <w:color w:val="231F20"/>
        </w:rPr>
        <w:t>analizinde</w:t>
      </w:r>
      <w:r>
        <w:rPr>
          <w:color w:val="231F20"/>
          <w:spacing w:val="-10"/>
        </w:rPr>
        <w:t> </w:t>
      </w:r>
      <w:r>
        <w:rPr>
          <w:color w:val="231F20"/>
        </w:rPr>
        <w:t>ise</w:t>
      </w:r>
      <w:r>
        <w:rPr>
          <w:color w:val="231F20"/>
          <w:spacing w:val="-9"/>
        </w:rPr>
        <w:t> </w:t>
      </w:r>
      <w:r>
        <w:rPr>
          <w:color w:val="231F20"/>
        </w:rPr>
        <w:t>SPSS</w:t>
      </w:r>
      <w:r>
        <w:rPr>
          <w:color w:val="231F20"/>
          <w:spacing w:val="-10"/>
        </w:rPr>
        <w:t> </w:t>
      </w:r>
      <w:r>
        <w:rPr>
          <w:color w:val="231F20"/>
        </w:rPr>
        <w:t>28.0</w:t>
      </w:r>
      <w:r>
        <w:rPr>
          <w:color w:val="231F20"/>
          <w:spacing w:val="-10"/>
        </w:rPr>
        <w:t> </w:t>
      </w:r>
      <w:r>
        <w:rPr>
          <w:color w:val="231F20"/>
        </w:rPr>
        <w:t>demo</w:t>
      </w:r>
      <w:r>
        <w:rPr>
          <w:color w:val="231F20"/>
          <w:spacing w:val="-10"/>
        </w:rPr>
        <w:t> </w:t>
      </w:r>
      <w:r>
        <w:rPr>
          <w:color w:val="231F20"/>
        </w:rPr>
        <w:t>ve</w:t>
      </w:r>
      <w:r>
        <w:rPr>
          <w:color w:val="231F20"/>
          <w:spacing w:val="-10"/>
        </w:rPr>
        <w:t> </w:t>
      </w:r>
      <w:r>
        <w:rPr>
          <w:color w:val="231F20"/>
        </w:rPr>
        <w:t>AMOS</w:t>
      </w:r>
      <w:r>
        <w:rPr>
          <w:color w:val="231F20"/>
          <w:spacing w:val="-9"/>
        </w:rPr>
        <w:t> </w:t>
      </w:r>
      <w:r>
        <w:rPr>
          <w:color w:val="231F20"/>
        </w:rPr>
        <w:t>23.0</w:t>
      </w:r>
      <w:r>
        <w:rPr>
          <w:color w:val="231F20"/>
          <w:spacing w:val="-10"/>
        </w:rPr>
        <w:t> </w:t>
      </w:r>
      <w:r>
        <w:rPr>
          <w:color w:val="231F20"/>
        </w:rPr>
        <w:t>lisanslı</w:t>
      </w:r>
      <w:r>
        <w:rPr>
          <w:color w:val="231F20"/>
          <w:spacing w:val="-10"/>
        </w:rPr>
        <w:t> </w:t>
      </w:r>
      <w:r>
        <w:rPr>
          <w:color w:val="231F20"/>
        </w:rPr>
        <w:t>istatistik paket programları kullanılmıştır. Nicel verilerin analizinde iki aşama söz konusudur. Gelişti- rilen Çevik Liderlik Becerisi Algısı ölçeğinin yapı geçerliğinin ortaya konulması için SPSS programı aracılığıyla Açıklayıcı Faktör Analizi (AFA) uygulanmıştır. Ortaya konulan yapının doğrulanması için daha geniş bir örneklemde ölçek verilerine AMOS programı aracılığıyla Doğrulayıcı Faktör Analizi (DFA) uygulanmıştır. Araştırma hipotezlerinin test edilmesinde AMOS 23.0 programı aracılığıyla gizil değişkenlerle yol analizinden</w:t>
      </w:r>
      <w:r>
        <w:rPr>
          <w:color w:val="231F20"/>
          <w:spacing w:val="-3"/>
        </w:rPr>
        <w:t> </w:t>
      </w:r>
      <w:r>
        <w:rPr>
          <w:color w:val="231F20"/>
        </w:rPr>
        <w:t>yararlanılmıştır.</w:t>
      </w:r>
    </w:p>
    <w:p>
      <w:pPr>
        <w:pStyle w:val="BodyText"/>
        <w:spacing w:line="249" w:lineRule="auto" w:before="120"/>
        <w:ind w:left="252" w:right="248" w:firstLine="567"/>
        <w:jc w:val="both"/>
      </w:pPr>
      <w:r>
        <w:rPr>
          <w:color w:val="231F20"/>
        </w:rPr>
        <w:t>Yapısal geçerliğin belirlenmesinde modelin genel uyumunu gösteren ki kare değerinin serbestlik</w:t>
      </w:r>
      <w:r>
        <w:rPr>
          <w:color w:val="231F20"/>
          <w:spacing w:val="-9"/>
        </w:rPr>
        <w:t> </w:t>
      </w:r>
      <w:r>
        <w:rPr>
          <w:color w:val="231F20"/>
        </w:rPr>
        <w:t>derecesine</w:t>
      </w:r>
      <w:r>
        <w:rPr>
          <w:color w:val="231F20"/>
          <w:spacing w:val="-8"/>
        </w:rPr>
        <w:t> </w:t>
      </w:r>
      <w:r>
        <w:rPr>
          <w:color w:val="231F20"/>
        </w:rPr>
        <w:t>oranı</w:t>
      </w:r>
      <w:r>
        <w:rPr>
          <w:color w:val="231F20"/>
          <w:spacing w:val="-9"/>
        </w:rPr>
        <w:t> </w:t>
      </w:r>
      <w:r>
        <w:rPr>
          <w:color w:val="231F20"/>
        </w:rPr>
        <w:t>(χ2/df);</w:t>
      </w:r>
      <w:r>
        <w:rPr>
          <w:color w:val="231F20"/>
          <w:spacing w:val="-7"/>
        </w:rPr>
        <w:t> </w:t>
      </w:r>
      <w:r>
        <w:rPr>
          <w:color w:val="231F20"/>
        </w:rPr>
        <w:t>karşılaştırmalı</w:t>
      </w:r>
      <w:r>
        <w:rPr>
          <w:color w:val="231F20"/>
          <w:spacing w:val="-9"/>
        </w:rPr>
        <w:t> </w:t>
      </w:r>
      <w:r>
        <w:rPr>
          <w:color w:val="231F20"/>
        </w:rPr>
        <w:t>uyum</w:t>
      </w:r>
      <w:r>
        <w:rPr>
          <w:color w:val="231F20"/>
          <w:spacing w:val="-7"/>
        </w:rPr>
        <w:t> </w:t>
      </w:r>
      <w:r>
        <w:rPr>
          <w:color w:val="231F20"/>
        </w:rPr>
        <w:t>iyiliği</w:t>
      </w:r>
      <w:r>
        <w:rPr>
          <w:color w:val="231F20"/>
          <w:spacing w:val="-9"/>
        </w:rPr>
        <w:t> </w:t>
      </w:r>
      <w:r>
        <w:rPr>
          <w:color w:val="231F20"/>
        </w:rPr>
        <w:t>indeksleri</w:t>
      </w:r>
      <w:r>
        <w:rPr>
          <w:color w:val="231F20"/>
          <w:spacing w:val="-8"/>
        </w:rPr>
        <w:t> </w:t>
      </w:r>
      <w:r>
        <w:rPr>
          <w:color w:val="231F20"/>
        </w:rPr>
        <w:t>(CFI,</w:t>
      </w:r>
      <w:r>
        <w:rPr>
          <w:color w:val="231F20"/>
          <w:spacing w:val="-7"/>
        </w:rPr>
        <w:t> </w:t>
      </w:r>
      <w:r>
        <w:rPr>
          <w:color w:val="231F20"/>
        </w:rPr>
        <w:t>NFI,</w:t>
      </w:r>
      <w:r>
        <w:rPr>
          <w:color w:val="231F20"/>
          <w:spacing w:val="-8"/>
        </w:rPr>
        <w:t> </w:t>
      </w:r>
      <w:r>
        <w:rPr>
          <w:color w:val="231F20"/>
        </w:rPr>
        <w:t>RMSEA); mutlak uyum indeksleri (GFI, AGFI) ve artık temelli uyum indeksi (SRMR) kullanılmıştır. Byrne (2011) örneklem sayısı 250 üzerinde ve Maximum Likelihood kestirim yöntemi kul- lanılmış ise x</w:t>
      </w:r>
      <w:r>
        <w:rPr>
          <w:color w:val="231F20"/>
          <w:vertAlign w:val="superscript"/>
        </w:rPr>
        <w:t>2</w:t>
      </w:r>
      <w:r>
        <w:rPr>
          <w:color w:val="231F20"/>
          <w:vertAlign w:val="baseline"/>
        </w:rPr>
        <w:t>/df, SRMR, CFI, RMSEA, NFI veya TLI değerlerinin raporlanmasının </w:t>
      </w:r>
      <w:r>
        <w:rPr>
          <w:color w:val="231F20"/>
          <w:spacing w:val="-4"/>
          <w:vertAlign w:val="baseline"/>
        </w:rPr>
        <w:t>yeterli </w:t>
      </w:r>
      <w:r>
        <w:rPr>
          <w:color w:val="231F20"/>
          <w:vertAlign w:val="baseline"/>
        </w:rPr>
        <w:t>olduğunu belirtmiştir. Meydan &amp; Şeşen (2015)’e göre, hangi uyum indekslerinin</w:t>
      </w:r>
      <w:r>
        <w:rPr>
          <w:color w:val="231F20"/>
          <w:spacing w:val="-30"/>
          <w:vertAlign w:val="baseline"/>
        </w:rPr>
        <w:t> </w:t>
      </w:r>
      <w:r>
        <w:rPr>
          <w:color w:val="231F20"/>
          <w:vertAlign w:val="baseline"/>
        </w:rPr>
        <w:t>raporlanması gerektiği çalışmanın amacına bağlı olmakla birlikte, her çalışmada ki-kare, serbestlik dere- cesi (df) ve mutlak uyum indeksi değerleri mutlaka verilmekte, amaca uygun olarak da </w:t>
      </w:r>
      <w:r>
        <w:rPr>
          <w:color w:val="231F20"/>
          <w:spacing w:val="-3"/>
          <w:vertAlign w:val="baseline"/>
        </w:rPr>
        <w:t>diğer </w:t>
      </w:r>
      <w:r>
        <w:rPr>
          <w:color w:val="231F20"/>
          <w:vertAlign w:val="baseline"/>
        </w:rPr>
        <w:t>indekslerden bir-iki tanesinin sonucu</w:t>
      </w:r>
      <w:r>
        <w:rPr>
          <w:color w:val="231F20"/>
          <w:spacing w:val="-2"/>
          <w:vertAlign w:val="baseline"/>
        </w:rPr>
        <w:t> </w:t>
      </w:r>
      <w:r>
        <w:rPr>
          <w:color w:val="231F20"/>
          <w:vertAlign w:val="baseline"/>
        </w:rPr>
        <w:t>belirtilebilir.</w:t>
      </w:r>
    </w:p>
    <w:p>
      <w:pPr>
        <w:pStyle w:val="BodyText"/>
        <w:spacing w:before="4"/>
      </w:pPr>
    </w:p>
    <w:p>
      <w:pPr>
        <w:pStyle w:val="Heading1"/>
        <w:numPr>
          <w:ilvl w:val="1"/>
          <w:numId w:val="1"/>
        </w:numPr>
        <w:tabs>
          <w:tab w:pos="603" w:val="left" w:leader="none"/>
        </w:tabs>
        <w:spacing w:line="240" w:lineRule="auto" w:before="0" w:after="0"/>
        <w:ind w:left="602" w:right="0" w:hanging="351"/>
        <w:jc w:val="left"/>
      </w:pPr>
      <w:r>
        <w:rPr>
          <w:color w:val="034694"/>
        </w:rPr>
        <w:t>Prosedür</w:t>
      </w:r>
    </w:p>
    <w:p>
      <w:pPr>
        <w:pStyle w:val="BodyText"/>
        <w:spacing w:line="249" w:lineRule="auto" w:before="124"/>
        <w:ind w:left="252" w:right="250" w:firstLine="567"/>
        <w:jc w:val="both"/>
      </w:pPr>
      <w:r>
        <w:rPr>
          <w:color w:val="231F20"/>
        </w:rPr>
        <w:t>Araştırmanın uygulama bölümüne başlanılmadan önce, Çağ Üniversitesi Etik Kurulu’ndan E-81570533-044-2100003776 sayılı ve 27.05.2021 tarihli etik kurul onayı alın-</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BodyText"/>
        <w:spacing w:line="249" w:lineRule="auto" w:before="1"/>
        <w:ind w:left="252" w:right="250"/>
        <w:jc w:val="both"/>
      </w:pPr>
      <w:r>
        <w:rPr>
          <w:color w:val="231F20"/>
        </w:rPr>
        <w:t>mıştır. Yarı yapılandırılmış mülakatlar dijital kanallar aracılığıyla ve yüz yüze gerçekleşti- rilmiştir. Anket formu ise Google Formlar aracılığıyla dijital ortamda hazırlanmış ve anket form bağlantısı katılımcılara dijital kanallar aracılığıyla gönderilerek uygulama yapılmıştır. Katılımcılar basit tesadüfi yöntem ile seçilmiş olup, sonrasında her bir katılımcının onam ve rızası alınmıştır. Araştırma Covid-19 pandemisinin getirdiği kaos ortamında gerçekleşmiştir. Bu sebeple görüşmeler ve anket formu aracılığıyla elde edilen katılımcı yanıtlarının gerçeği yansıtacağı varsayılmıştır.</w:t>
      </w:r>
    </w:p>
    <w:p>
      <w:pPr>
        <w:pStyle w:val="BodyText"/>
        <w:spacing w:before="2"/>
      </w:pPr>
    </w:p>
    <w:p>
      <w:pPr>
        <w:pStyle w:val="Heading1"/>
        <w:numPr>
          <w:ilvl w:val="1"/>
          <w:numId w:val="1"/>
        </w:numPr>
        <w:tabs>
          <w:tab w:pos="603" w:val="left" w:leader="none"/>
        </w:tabs>
        <w:spacing w:line="240" w:lineRule="auto" w:before="0" w:after="0"/>
        <w:ind w:left="602" w:right="0" w:hanging="351"/>
        <w:jc w:val="left"/>
      </w:pPr>
      <w:r>
        <w:rPr>
          <w:color w:val="034694"/>
        </w:rPr>
        <w:t>Çevik Liderlik Becerisi Algısı Ölçeğinin</w:t>
      </w:r>
      <w:r>
        <w:rPr>
          <w:color w:val="034694"/>
          <w:spacing w:val="-3"/>
        </w:rPr>
        <w:t> </w:t>
      </w:r>
      <w:r>
        <w:rPr>
          <w:color w:val="034694"/>
        </w:rPr>
        <w:t>Geliştirilmesi</w:t>
      </w:r>
    </w:p>
    <w:p>
      <w:pPr>
        <w:pStyle w:val="BodyText"/>
        <w:spacing w:line="249" w:lineRule="auto" w:before="124"/>
        <w:ind w:left="252" w:right="29" w:firstLine="567"/>
      </w:pPr>
      <w:r>
        <w:rPr>
          <w:color w:val="231F20"/>
        </w:rPr>
        <w:t>Çevik Liderlik Becerisi Algısı Ölçeğinin geliştirilmesinde izlenilen aşamalar Şekil 1’de özetlenmiş ve başlıklar halinde açıklanmıştır.</w:t>
      </w:r>
    </w:p>
    <w:p>
      <w:pPr>
        <w:pStyle w:val="BodyText"/>
        <w:spacing w:before="9"/>
        <w:rPr>
          <w:sz w:val="19"/>
        </w:rPr>
      </w:pPr>
    </w:p>
    <w:p>
      <w:pPr>
        <w:pStyle w:val="Heading1"/>
        <w:spacing w:before="1"/>
        <w:jc w:val="both"/>
      </w:pPr>
      <w:r>
        <w:rPr/>
        <w:pict>
          <v:group style="position:absolute;margin-left:49.6063pt;margin-top:16.216930pt;width:377.05pt;height:249.45pt;mso-position-horizontal-relative:page;mso-position-vertical-relative:paragraph;z-index:-15725568;mso-wrap-distance-left:0;mso-wrap-distance-right:0" coordorigin="992,324" coordsize="7541,4989">
            <v:line style="position:absolute" from="992,329" to="8532,329" stroked="true" strokeweight=".5pt" strokecolor="#231f20">
              <v:stroke dashstyle="solid"/>
            </v:line>
            <v:line style="position:absolute" from="997,5303" to="997,334" stroked="true" strokeweight=".5pt" strokecolor="#231f20">
              <v:stroke dashstyle="solid"/>
            </v:line>
            <v:line style="position:absolute" from="8527,5303" to="8527,334" stroked="true" strokeweight=".5pt" strokecolor="#231f20">
              <v:stroke dashstyle="solid"/>
            </v:line>
            <v:line style="position:absolute" from="992,5308" to="8532,5308" stroked="true" strokeweight=".5pt" strokecolor="#231f20">
              <v:stroke dashstyle="solid"/>
            </v:line>
            <v:shape style="position:absolute;left:1350;top:528;width:6843;height:4608" type="#_x0000_t75" stroked="false">
              <v:imagedata r:id="rId15" o:title=""/>
            </v:shape>
            <w10:wrap type="topAndBottom"/>
          </v:group>
        </w:pict>
      </w:r>
      <w:r>
        <w:rPr>
          <w:color w:val="231F20"/>
        </w:rPr>
        <w:t>Şekil 1: Çevik Liderlik Becerisi Algısı Ölçeğinin Geliştirilmesinde İzlenen Aşamalar</w:t>
      </w:r>
    </w:p>
    <w:p>
      <w:pPr>
        <w:pStyle w:val="BodyText"/>
        <w:spacing w:before="3"/>
        <w:rPr>
          <w:b/>
          <w:sz w:val="14"/>
        </w:rPr>
      </w:pPr>
    </w:p>
    <w:p>
      <w:pPr>
        <w:pStyle w:val="ListParagraph"/>
        <w:numPr>
          <w:ilvl w:val="2"/>
          <w:numId w:val="1"/>
        </w:numPr>
        <w:tabs>
          <w:tab w:pos="753" w:val="left" w:leader="none"/>
        </w:tabs>
        <w:spacing w:line="240" w:lineRule="auto" w:before="63" w:after="0"/>
        <w:ind w:left="752" w:right="0" w:hanging="501"/>
        <w:jc w:val="left"/>
        <w:rPr>
          <w:b/>
          <w:sz w:val="20"/>
        </w:rPr>
      </w:pPr>
      <w:r>
        <w:rPr>
          <w:b/>
          <w:color w:val="034694"/>
          <w:sz w:val="20"/>
        </w:rPr>
        <w:t>Madde Havuzunun Oluşturulması</w:t>
      </w:r>
    </w:p>
    <w:p>
      <w:pPr>
        <w:pStyle w:val="BodyText"/>
        <w:spacing w:line="249" w:lineRule="auto" w:before="124"/>
        <w:ind w:left="252" w:right="248" w:firstLine="567"/>
        <w:jc w:val="both"/>
      </w:pPr>
      <w:r>
        <w:rPr>
          <w:color w:val="231F20"/>
        </w:rPr>
        <w:t>Değişken, belirsiz ve kaotik yapıdaki iş ortamı ve koşullarında liderliği ele alan araştır- malar</w:t>
      </w:r>
      <w:r>
        <w:rPr>
          <w:color w:val="231F20"/>
          <w:spacing w:val="-9"/>
        </w:rPr>
        <w:t> </w:t>
      </w:r>
      <w:r>
        <w:rPr>
          <w:color w:val="231F20"/>
        </w:rPr>
        <w:t>çevik</w:t>
      </w:r>
      <w:r>
        <w:rPr>
          <w:color w:val="231F20"/>
          <w:spacing w:val="-8"/>
        </w:rPr>
        <w:t> </w:t>
      </w:r>
      <w:r>
        <w:rPr>
          <w:color w:val="231F20"/>
        </w:rPr>
        <w:t>liderlik</w:t>
      </w:r>
      <w:r>
        <w:rPr>
          <w:color w:val="231F20"/>
          <w:spacing w:val="-8"/>
        </w:rPr>
        <w:t> </w:t>
      </w:r>
      <w:r>
        <w:rPr>
          <w:color w:val="231F20"/>
        </w:rPr>
        <w:t>becerilerine</w:t>
      </w:r>
      <w:r>
        <w:rPr>
          <w:color w:val="231F20"/>
          <w:spacing w:val="-9"/>
        </w:rPr>
        <w:t> </w:t>
      </w:r>
      <w:r>
        <w:rPr>
          <w:color w:val="231F20"/>
        </w:rPr>
        <w:t>gereksinimi</w:t>
      </w:r>
      <w:r>
        <w:rPr>
          <w:color w:val="231F20"/>
          <w:spacing w:val="-8"/>
        </w:rPr>
        <w:t> </w:t>
      </w:r>
      <w:r>
        <w:rPr>
          <w:color w:val="231F20"/>
        </w:rPr>
        <w:t>ön</w:t>
      </w:r>
      <w:r>
        <w:rPr>
          <w:color w:val="231F20"/>
          <w:spacing w:val="-8"/>
        </w:rPr>
        <w:t> </w:t>
      </w:r>
      <w:r>
        <w:rPr>
          <w:color w:val="231F20"/>
        </w:rPr>
        <w:t>plana</w:t>
      </w:r>
      <w:r>
        <w:rPr>
          <w:color w:val="231F20"/>
          <w:spacing w:val="-8"/>
        </w:rPr>
        <w:t> </w:t>
      </w:r>
      <w:r>
        <w:rPr>
          <w:color w:val="231F20"/>
        </w:rPr>
        <w:t>çıkarmıştır.</w:t>
      </w:r>
      <w:r>
        <w:rPr>
          <w:color w:val="231F20"/>
          <w:spacing w:val="-9"/>
        </w:rPr>
        <w:t> </w:t>
      </w:r>
      <w:r>
        <w:rPr>
          <w:color w:val="231F20"/>
        </w:rPr>
        <w:t>Saha</w:t>
      </w:r>
      <w:r>
        <w:rPr>
          <w:color w:val="231F20"/>
          <w:spacing w:val="-8"/>
        </w:rPr>
        <w:t> </w:t>
      </w:r>
      <w:r>
        <w:rPr>
          <w:color w:val="231F20"/>
        </w:rPr>
        <w:t>çalışanlarındaki</w:t>
      </w:r>
      <w:r>
        <w:rPr>
          <w:color w:val="231F20"/>
          <w:spacing w:val="-8"/>
        </w:rPr>
        <w:t> </w:t>
      </w:r>
      <w:r>
        <w:rPr>
          <w:color w:val="231F20"/>
        </w:rPr>
        <w:t>algının literatür ile uyumlu olup olmadığını keşfetmek amacıyla, çeşitli sektörlerde görev yapan çalı- şanların görüşleri</w:t>
      </w:r>
      <w:r>
        <w:rPr>
          <w:color w:val="231F20"/>
          <w:spacing w:val="-2"/>
        </w:rPr>
        <w:t> </w:t>
      </w:r>
      <w:r>
        <w:rPr>
          <w:color w:val="231F20"/>
        </w:rPr>
        <w:t>alınmıştır.</w:t>
      </w:r>
    </w:p>
    <w:p>
      <w:pPr>
        <w:pStyle w:val="BodyText"/>
        <w:spacing w:line="249" w:lineRule="auto" w:before="117"/>
        <w:ind w:left="252" w:right="250" w:firstLine="567"/>
        <w:jc w:val="both"/>
      </w:pPr>
      <w:r>
        <w:rPr>
          <w:color w:val="231F20"/>
        </w:rPr>
        <w:t>İnsan Kaynakları departmanında görev yapan personellerin sorulara vermiş olduğu yanıtlara uygulanan nitel analizden elde edilen kelime bulutu ve ağ analizi sonuçları Tablo 2’de özetlenmiştir.</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Heading1"/>
        <w:spacing w:before="1"/>
      </w:pPr>
      <w:r>
        <w:rPr/>
        <w:pict>
          <v:group style="position:absolute;margin-left:49.6063pt;margin-top:16.219936pt;width:377.05pt;height:.5pt;mso-position-horizontal-relative:page;mso-position-vertical-relative:paragraph;z-index:-15725056;mso-wrap-distance-left:0;mso-wrap-distance-right:0" coordorigin="992,324" coordsize="7541,10">
            <v:line style="position:absolute" from="992,329" to="1843,329" stroked="true" strokeweight=".5pt" strokecolor="#231f20">
              <v:stroke dashstyle="solid"/>
            </v:line>
            <v:line style="position:absolute" from="1843,329" to="5924,329" stroked="true" strokeweight=".5pt" strokecolor="#231f20">
              <v:stroke dashstyle="solid"/>
            </v:line>
            <v:line style="position:absolute" from="5924,329" to="8532,329" stroked="true" strokeweight=".5pt" strokecolor="#231f20">
              <v:stroke dashstyle="solid"/>
            </v:line>
            <w10:wrap type="topAndBottom"/>
          </v:group>
        </w:pict>
      </w:r>
      <w:r>
        <w:rPr>
          <w:color w:val="231F20"/>
        </w:rPr>
        <w:t>Tablo 2: Yarı Yapılandırılmış Mülakatlardan Elde Edilen Sonuçlar</w:t>
      </w:r>
    </w:p>
    <w:p>
      <w:pPr>
        <w:spacing w:line="191" w:lineRule="exact" w:before="8"/>
        <w:ind w:left="2200" w:right="1347" w:firstLine="0"/>
        <w:jc w:val="center"/>
        <w:rPr>
          <w:b/>
          <w:sz w:val="20"/>
        </w:rPr>
      </w:pPr>
      <w:r>
        <w:rPr>
          <w:b/>
          <w:color w:val="231F20"/>
          <w:sz w:val="20"/>
        </w:rPr>
        <w:t>Sonuçlar</w:t>
      </w:r>
    </w:p>
    <w:p>
      <w:pPr>
        <w:spacing w:after="0" w:line="191" w:lineRule="exact"/>
        <w:jc w:val="center"/>
        <w:rPr>
          <w:sz w:val="20"/>
        </w:rPr>
        <w:sectPr>
          <w:pgSz w:w="9530" w:h="13610"/>
          <w:pgMar w:header="860" w:footer="344" w:top="1060" w:bottom="540" w:left="740" w:right="740"/>
        </w:sectPr>
      </w:pPr>
    </w:p>
    <w:p>
      <w:pPr>
        <w:spacing w:line="194" w:lineRule="exact" w:before="0"/>
        <w:ind w:left="351" w:right="0" w:firstLine="0"/>
        <w:jc w:val="left"/>
        <w:rPr>
          <w:b/>
          <w:sz w:val="20"/>
        </w:rPr>
      </w:pPr>
      <w:r>
        <w:rPr/>
        <w:pict>
          <v:group style="position:absolute;margin-left:92.125999pt;margin-top:3.532065pt;width:334.5pt;height:.5pt;mso-position-horizontal-relative:page;mso-position-vertical-relative:paragraph;z-index:15736832" coordorigin="1843,71" coordsize="6690,10">
            <v:line style="position:absolute" from="1843,76" to="5924,76" stroked="true" strokeweight=".5pt" strokecolor="#231f20">
              <v:stroke dashstyle="solid"/>
            </v:line>
            <v:line style="position:absolute" from="5924,76" to="8532,76" stroked="true" strokeweight=".5pt" strokecolor="#231f20">
              <v:stroke dashstyle="solid"/>
            </v:line>
            <w10:wrap type="none"/>
          </v:group>
        </w:pict>
      </w:r>
      <w:r>
        <w:rPr>
          <w:b/>
          <w:color w:val="231F20"/>
          <w:sz w:val="20"/>
        </w:rPr>
        <w:t>Sorular</w:t>
      </w:r>
    </w:p>
    <w:p>
      <w:pPr>
        <w:tabs>
          <w:tab w:pos="3518" w:val="left" w:leader="none"/>
        </w:tabs>
        <w:spacing w:before="118"/>
        <w:ind w:left="351" w:right="0" w:firstLine="0"/>
        <w:jc w:val="left"/>
        <w:rPr>
          <w:b/>
          <w:sz w:val="20"/>
        </w:rPr>
      </w:pPr>
      <w:r>
        <w:rPr/>
        <w:br w:type="column"/>
      </w:r>
      <w:r>
        <w:rPr>
          <w:b/>
          <w:color w:val="231F20"/>
          <w:sz w:val="20"/>
        </w:rPr>
        <w:t>Ağ</w:t>
      </w:r>
      <w:r>
        <w:rPr>
          <w:b/>
          <w:color w:val="231F20"/>
          <w:spacing w:val="-13"/>
          <w:sz w:val="20"/>
        </w:rPr>
        <w:t> </w:t>
      </w:r>
      <w:r>
        <w:rPr>
          <w:b/>
          <w:color w:val="231F20"/>
          <w:sz w:val="20"/>
        </w:rPr>
        <w:t>Analizi</w:t>
        <w:tab/>
        <w:t>Kelime Bulutu</w:t>
      </w:r>
    </w:p>
    <w:p>
      <w:pPr>
        <w:spacing w:after="0"/>
        <w:jc w:val="left"/>
        <w:rPr>
          <w:sz w:val="20"/>
        </w:rPr>
        <w:sectPr>
          <w:type w:val="continuous"/>
          <w:pgSz w:w="9530" w:h="13610"/>
          <w:pgMar w:top="620" w:bottom="540" w:left="740" w:right="740"/>
          <w:cols w:num="2" w:equalWidth="0">
            <w:col w:w="1047" w:space="1298"/>
            <w:col w:w="5705"/>
          </w:cols>
        </w:sectPr>
      </w:pPr>
    </w:p>
    <w:p>
      <w:pPr>
        <w:pStyle w:val="BodyText"/>
        <w:rPr>
          <w:b/>
        </w:rPr>
      </w:pPr>
    </w:p>
    <w:p>
      <w:pPr>
        <w:pStyle w:val="BodyText"/>
        <w:spacing w:before="2"/>
        <w:rPr>
          <w:b/>
          <w:sz w:val="18"/>
        </w:rPr>
      </w:pPr>
    </w:p>
    <w:p>
      <w:pPr>
        <w:spacing w:before="0"/>
        <w:ind w:left="0" w:right="0" w:firstLine="0"/>
        <w:jc w:val="right"/>
        <w:rPr>
          <w:b/>
          <w:sz w:val="20"/>
        </w:rPr>
      </w:pPr>
      <w:r>
        <w:rPr>
          <w:b/>
          <w:color w:val="231F20"/>
          <w:spacing w:val="-2"/>
          <w:sz w:val="20"/>
        </w:rPr>
        <w:t>S1.</w:t>
      </w:r>
    </w:p>
    <w:p>
      <w:pPr>
        <w:pStyle w:val="BodyText"/>
        <w:rPr>
          <w:b/>
        </w:rPr>
      </w:pPr>
    </w:p>
    <w:p>
      <w:pPr>
        <w:pStyle w:val="BodyText"/>
        <w:rPr>
          <w:b/>
        </w:rPr>
      </w:pPr>
    </w:p>
    <w:p>
      <w:pPr>
        <w:pStyle w:val="BodyText"/>
        <w:rPr>
          <w:b/>
        </w:rPr>
      </w:pPr>
    </w:p>
    <w:p>
      <w:pPr>
        <w:pStyle w:val="BodyText"/>
        <w:rPr>
          <w:b/>
        </w:rPr>
      </w:pPr>
    </w:p>
    <w:p>
      <w:pPr>
        <w:spacing w:before="119"/>
        <w:ind w:left="0" w:right="0" w:firstLine="0"/>
        <w:jc w:val="right"/>
        <w:rPr>
          <w:b/>
          <w:sz w:val="20"/>
        </w:rPr>
      </w:pPr>
      <w:r>
        <w:rPr>
          <w:b/>
          <w:color w:val="231F20"/>
          <w:spacing w:val="-2"/>
          <w:sz w:val="20"/>
        </w:rPr>
        <w:t>S2.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
        <w:rPr>
          <w:b/>
          <w:sz w:val="21"/>
        </w:rPr>
      </w:pPr>
    </w:p>
    <w:p>
      <w:pPr>
        <w:spacing w:before="0"/>
        <w:ind w:left="0" w:right="0" w:firstLine="0"/>
        <w:jc w:val="right"/>
        <w:rPr>
          <w:b/>
          <w:sz w:val="20"/>
        </w:rPr>
      </w:pPr>
      <w:r>
        <w:rPr>
          <w:b/>
          <w:color w:val="231F20"/>
          <w:spacing w:val="-2"/>
          <w:sz w:val="20"/>
        </w:rPr>
        <w:t>S3.</w:t>
      </w: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29"/>
        <w:ind w:left="0" w:right="0" w:firstLine="0"/>
        <w:jc w:val="right"/>
        <w:rPr>
          <w:b/>
          <w:sz w:val="20"/>
        </w:rPr>
      </w:pPr>
      <w:r>
        <w:rPr>
          <w:b/>
          <w:color w:val="231F20"/>
          <w:spacing w:val="-2"/>
          <w:sz w:val="20"/>
        </w:rPr>
        <w:t>S4.</w:t>
      </w:r>
    </w:p>
    <w:p>
      <w:pPr>
        <w:pStyle w:val="BodyText"/>
        <w:rPr>
          <w:b/>
        </w:rPr>
      </w:pPr>
    </w:p>
    <w:p>
      <w:pPr>
        <w:pStyle w:val="BodyText"/>
        <w:rPr>
          <w:b/>
        </w:rPr>
      </w:pPr>
    </w:p>
    <w:p>
      <w:pPr>
        <w:pStyle w:val="BodyText"/>
        <w:rPr>
          <w:b/>
        </w:rPr>
      </w:pPr>
    </w:p>
    <w:p>
      <w:pPr>
        <w:pStyle w:val="BodyText"/>
        <w:rPr>
          <w:b/>
        </w:rPr>
      </w:pPr>
    </w:p>
    <w:p>
      <w:pPr>
        <w:spacing w:before="119"/>
        <w:ind w:left="0" w:right="0" w:firstLine="0"/>
        <w:jc w:val="right"/>
        <w:rPr>
          <w:b/>
          <w:sz w:val="20"/>
        </w:rPr>
      </w:pPr>
      <w:r>
        <w:rPr>
          <w:b/>
          <w:color w:val="231F20"/>
          <w:spacing w:val="-2"/>
          <w:sz w:val="20"/>
        </w:rPr>
        <w:t>S5.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15"/>
        </w:rPr>
      </w:pPr>
    </w:p>
    <w:p>
      <w:pPr>
        <w:spacing w:before="0"/>
        <w:ind w:left="0" w:right="0" w:firstLine="0"/>
        <w:jc w:val="right"/>
        <w:rPr>
          <w:b/>
          <w:sz w:val="20"/>
        </w:rPr>
      </w:pPr>
      <w:r>
        <w:rPr>
          <w:b/>
          <w:color w:val="231F20"/>
          <w:spacing w:val="-2"/>
          <w:sz w:val="20"/>
        </w:rPr>
        <w:t>S6.</w:t>
      </w:r>
    </w:p>
    <w:p>
      <w:pPr>
        <w:pStyle w:val="BodyText"/>
        <w:spacing w:before="3"/>
        <w:rPr>
          <w:b/>
          <w:sz w:val="17"/>
        </w:rPr>
      </w:pPr>
      <w:r>
        <w:rPr/>
        <w:br w:type="column"/>
      </w:r>
      <w:r>
        <w:rPr>
          <w:b/>
          <w:sz w:val="17"/>
        </w:rPr>
      </w:r>
    </w:p>
    <w:p>
      <w:pPr>
        <w:pStyle w:val="BodyText"/>
        <w:spacing w:line="249" w:lineRule="auto"/>
        <w:ind w:left="334"/>
        <w:jc w:val="both"/>
      </w:pPr>
      <w:r>
        <w:rPr>
          <w:color w:val="231F20"/>
        </w:rPr>
        <w:t>Liderliğin geleceğini etkileyen eğilimler </w:t>
      </w:r>
      <w:r>
        <w:rPr>
          <w:color w:val="231F20"/>
          <w:spacing w:val="-4"/>
        </w:rPr>
        <w:t>yapay </w:t>
      </w:r>
      <w:r>
        <w:rPr>
          <w:color w:val="231F20"/>
        </w:rPr>
        <w:t>zeka, dijitalleşen dünya, küreselleşme, </w:t>
      </w:r>
      <w:r>
        <w:rPr>
          <w:color w:val="231F20"/>
          <w:spacing w:val="-3"/>
        </w:rPr>
        <w:t>değişim </w:t>
      </w:r>
      <w:r>
        <w:rPr>
          <w:color w:val="231F20"/>
        </w:rPr>
        <w:t>olarak</w:t>
      </w:r>
      <w:r>
        <w:rPr>
          <w:color w:val="231F20"/>
          <w:spacing w:val="-1"/>
        </w:rPr>
        <w:t> </w:t>
      </w:r>
      <w:r>
        <w:rPr>
          <w:color w:val="231F20"/>
        </w:rPr>
        <w:t>belirtilmiştir.</w:t>
      </w:r>
    </w:p>
    <w:p>
      <w:pPr>
        <w:pStyle w:val="BodyText"/>
        <w:spacing w:before="7"/>
        <w:rPr>
          <w:sz w:val="16"/>
        </w:rPr>
      </w:pPr>
    </w:p>
    <w:p>
      <w:pPr>
        <w:pStyle w:val="BodyText"/>
        <w:spacing w:line="249" w:lineRule="auto" w:before="1"/>
        <w:ind w:left="334" w:right="1"/>
        <w:jc w:val="both"/>
      </w:pPr>
      <w:r>
        <w:rPr>
          <w:color w:val="231F20"/>
        </w:rPr>
        <w:t>Geleceğin liderlerinin sahip olması gereken yaklaşımlar vizyon sahibi, çok yönlü, fütürist, bütünleştirici, dönüşüm odaklı, başarı </w:t>
      </w:r>
      <w:r>
        <w:rPr>
          <w:color w:val="231F20"/>
          <w:spacing w:val="-3"/>
        </w:rPr>
        <w:t>odaklı, </w:t>
      </w:r>
      <w:r>
        <w:rPr>
          <w:color w:val="231F20"/>
        </w:rPr>
        <w:t>yeniliklere açık ve hemen uyum sağlayan, insan- ların potansiyelinden en iyi şekilde faydalanma olarak</w:t>
      </w:r>
      <w:r>
        <w:rPr>
          <w:color w:val="231F20"/>
          <w:spacing w:val="-1"/>
        </w:rPr>
        <w:t> </w:t>
      </w:r>
      <w:r>
        <w:rPr>
          <w:color w:val="231F20"/>
        </w:rPr>
        <w:t>belirtilmiştir.</w:t>
      </w:r>
    </w:p>
    <w:p>
      <w:pPr>
        <w:pStyle w:val="BodyText"/>
        <w:spacing w:line="249" w:lineRule="auto" w:before="73"/>
        <w:ind w:left="334" w:right="1"/>
        <w:jc w:val="both"/>
      </w:pPr>
      <w:r>
        <w:rPr>
          <w:color w:val="231F20"/>
        </w:rPr>
        <w:t>Geleceğin liderlerinin sahip olması gereken beceriler geleceği öngörebilme, değişime </w:t>
      </w:r>
      <w:r>
        <w:rPr>
          <w:color w:val="231F20"/>
          <w:spacing w:val="-5"/>
        </w:rPr>
        <w:t>açık </w:t>
      </w:r>
      <w:r>
        <w:rPr>
          <w:color w:val="231F20"/>
        </w:rPr>
        <w:t>olma, değişime hızlı ayak uydurma, hızlı </w:t>
      </w:r>
      <w:r>
        <w:rPr>
          <w:color w:val="231F20"/>
          <w:spacing w:val="-4"/>
        </w:rPr>
        <w:t>karar- </w:t>
      </w:r>
      <w:r>
        <w:rPr>
          <w:color w:val="231F20"/>
        </w:rPr>
        <w:t>lar alabilme, hatalara karşı tolerans sahibi </w:t>
      </w:r>
      <w:r>
        <w:rPr>
          <w:color w:val="231F20"/>
          <w:spacing w:val="-3"/>
        </w:rPr>
        <w:t>olma, </w:t>
      </w:r>
      <w:r>
        <w:rPr>
          <w:color w:val="231F20"/>
        </w:rPr>
        <w:t>teknolojiyi doğru kullanma, yaratıcılık, </w:t>
      </w:r>
      <w:r>
        <w:rPr>
          <w:color w:val="231F20"/>
          <w:spacing w:val="-3"/>
        </w:rPr>
        <w:t>değişime </w:t>
      </w:r>
      <w:r>
        <w:rPr>
          <w:color w:val="231F20"/>
        </w:rPr>
        <w:t>direnen ekiplerini cesaretlendirme, risk</w:t>
      </w:r>
      <w:r>
        <w:rPr>
          <w:color w:val="231F20"/>
          <w:spacing w:val="-31"/>
        </w:rPr>
        <w:t> </w:t>
      </w:r>
      <w:r>
        <w:rPr>
          <w:color w:val="231F20"/>
          <w:spacing w:val="-3"/>
        </w:rPr>
        <w:t>yönetimi- </w:t>
      </w:r>
      <w:r>
        <w:rPr>
          <w:color w:val="231F20"/>
        </w:rPr>
        <w:t>ni yapabilme olarak</w:t>
      </w:r>
      <w:r>
        <w:rPr>
          <w:color w:val="231F20"/>
          <w:spacing w:val="-2"/>
        </w:rPr>
        <w:t> </w:t>
      </w:r>
      <w:r>
        <w:rPr>
          <w:color w:val="231F20"/>
        </w:rPr>
        <w:t>belirtilmiştir.</w:t>
      </w:r>
    </w:p>
    <w:p>
      <w:pPr>
        <w:pStyle w:val="BodyText"/>
        <w:spacing w:line="249" w:lineRule="auto" w:before="75"/>
        <w:ind w:left="334"/>
        <w:jc w:val="both"/>
      </w:pPr>
      <w:r>
        <w:rPr>
          <w:color w:val="231F20"/>
        </w:rPr>
        <w:t>Bugünün liderleri ve gelecek on yıl düşünüldü- ğünde temel farklılıklar yapay zekayı süreçlere dahil etme, yeni teknolojiler karşısında çeviklik, dijital dönüşüme öncülük etme, çalışanlara önem verme olarak belirtilmiştir.</w:t>
      </w:r>
    </w:p>
    <w:p>
      <w:pPr>
        <w:pStyle w:val="BodyText"/>
        <w:spacing w:line="249" w:lineRule="auto" w:before="73"/>
        <w:ind w:left="334"/>
        <w:jc w:val="both"/>
      </w:pPr>
      <w:r>
        <w:rPr>
          <w:color w:val="231F20"/>
        </w:rPr>
        <w:t>Geleceğin</w:t>
      </w:r>
      <w:r>
        <w:rPr>
          <w:color w:val="231F20"/>
          <w:spacing w:val="-9"/>
        </w:rPr>
        <w:t> </w:t>
      </w:r>
      <w:r>
        <w:rPr>
          <w:color w:val="231F20"/>
        </w:rPr>
        <w:t>liderleri</w:t>
      </w:r>
      <w:r>
        <w:rPr>
          <w:color w:val="231F20"/>
          <w:spacing w:val="-8"/>
        </w:rPr>
        <w:t> </w:t>
      </w:r>
      <w:r>
        <w:rPr>
          <w:color w:val="231F20"/>
        </w:rPr>
        <w:t>için</w:t>
      </w:r>
      <w:r>
        <w:rPr>
          <w:color w:val="231F20"/>
          <w:spacing w:val="-8"/>
        </w:rPr>
        <w:t> </w:t>
      </w:r>
      <w:r>
        <w:rPr>
          <w:color w:val="231F20"/>
        </w:rPr>
        <w:t>en</w:t>
      </w:r>
      <w:r>
        <w:rPr>
          <w:color w:val="231F20"/>
          <w:spacing w:val="-8"/>
        </w:rPr>
        <w:t> </w:t>
      </w:r>
      <w:r>
        <w:rPr>
          <w:color w:val="231F20"/>
        </w:rPr>
        <w:t>büyük</w:t>
      </w:r>
      <w:r>
        <w:rPr>
          <w:color w:val="231F20"/>
          <w:spacing w:val="-8"/>
        </w:rPr>
        <w:t> </w:t>
      </w:r>
      <w:r>
        <w:rPr>
          <w:color w:val="231F20"/>
        </w:rPr>
        <w:t>zorluklar</w:t>
      </w:r>
      <w:r>
        <w:rPr>
          <w:color w:val="231F20"/>
          <w:spacing w:val="-8"/>
        </w:rPr>
        <w:t> </w:t>
      </w:r>
      <w:r>
        <w:rPr>
          <w:color w:val="231F20"/>
        </w:rPr>
        <w:t>sürek- li gelişen teknoloji, eş zamanlı olarak hızlı </w:t>
      </w:r>
      <w:r>
        <w:rPr>
          <w:color w:val="231F20"/>
          <w:spacing w:val="-3"/>
        </w:rPr>
        <w:t>deği- </w:t>
      </w:r>
      <w:r>
        <w:rPr>
          <w:color w:val="231F20"/>
        </w:rPr>
        <w:t>şime uyabilme, pandemi dönemlerinde </w:t>
      </w:r>
      <w:r>
        <w:rPr>
          <w:color w:val="231F20"/>
          <w:spacing w:val="-3"/>
        </w:rPr>
        <w:t>ortaya </w:t>
      </w:r>
      <w:r>
        <w:rPr>
          <w:color w:val="231F20"/>
        </w:rPr>
        <w:t>çıkacak krizleri yönetme, kuşak </w:t>
      </w:r>
      <w:r>
        <w:rPr>
          <w:color w:val="231F20"/>
          <w:spacing w:val="-2"/>
        </w:rPr>
        <w:t>farklılıklarını </w:t>
      </w:r>
      <w:r>
        <w:rPr>
          <w:color w:val="231F20"/>
        </w:rPr>
        <w:t>yönetme, siber saldırılar olarak</w:t>
      </w:r>
      <w:r>
        <w:rPr>
          <w:color w:val="231F20"/>
          <w:spacing w:val="-11"/>
        </w:rPr>
        <w:t> </w:t>
      </w:r>
      <w:r>
        <w:rPr>
          <w:color w:val="231F20"/>
        </w:rPr>
        <w:t>belirtilmiştir.</w:t>
      </w:r>
    </w:p>
    <w:p>
      <w:pPr>
        <w:pStyle w:val="BodyText"/>
        <w:spacing w:before="9"/>
        <w:rPr>
          <w:sz w:val="16"/>
        </w:rPr>
      </w:pPr>
    </w:p>
    <w:p>
      <w:pPr>
        <w:pStyle w:val="BodyText"/>
        <w:spacing w:line="249" w:lineRule="auto"/>
        <w:ind w:left="334"/>
        <w:jc w:val="both"/>
      </w:pPr>
      <w:r>
        <w:rPr>
          <w:color w:val="231F20"/>
        </w:rPr>
        <w:t>Liderlik hakkındaki düşünceler güven inşa</w:t>
      </w:r>
      <w:r>
        <w:rPr>
          <w:color w:val="231F20"/>
          <w:spacing w:val="-33"/>
        </w:rPr>
        <w:t> </w:t>
      </w:r>
      <w:r>
        <w:rPr>
          <w:color w:val="231F20"/>
          <w:spacing w:val="-4"/>
        </w:rPr>
        <w:t>edebi- </w:t>
      </w:r>
      <w:r>
        <w:rPr>
          <w:color w:val="231F20"/>
        </w:rPr>
        <w:t>len, iletişimi kuvvetli, insanları motive edebilen, çalışanlarını dinleyen, birliktelik inşa eden, </w:t>
      </w:r>
      <w:r>
        <w:rPr>
          <w:color w:val="231F20"/>
          <w:spacing w:val="-4"/>
        </w:rPr>
        <w:t>deği- </w:t>
      </w:r>
      <w:r>
        <w:rPr>
          <w:color w:val="231F20"/>
        </w:rPr>
        <w:t>şimlere adapte olabilen olarak</w:t>
      </w:r>
      <w:r>
        <w:rPr>
          <w:color w:val="231F20"/>
          <w:spacing w:val="-7"/>
        </w:rPr>
        <w:t> </w:t>
      </w:r>
      <w:r>
        <w:rPr>
          <w:color w:val="231F20"/>
        </w:rPr>
        <w:t>belirtilmiştir.</w:t>
      </w:r>
    </w:p>
    <w:p>
      <w:pPr>
        <w:pStyle w:val="BodyText"/>
        <w:spacing w:before="8"/>
        <w:rPr>
          <w:sz w:val="16"/>
        </w:rPr>
      </w:pPr>
    </w:p>
    <w:p>
      <w:pPr>
        <w:pStyle w:val="BodyText"/>
        <w:spacing w:line="249" w:lineRule="auto"/>
        <w:ind w:left="334"/>
        <w:jc w:val="both"/>
      </w:pPr>
      <w:r>
        <w:rPr>
          <w:color w:val="231F20"/>
        </w:rPr>
        <w:t>Liderlik gelişimi üzerinde yapılan çalışmalar lider yetiştirme ve gelişim programları, tekno- loji tabanlı eğitimler, etkili konuşma ve iletişim eğitimleri, sık sık yapılan toplantılar ve kriz yönetimi, küçük ekipler oluşturarak çalışanlarla maksimum verimi sağlama olarak belirtilmiştir.</w:t>
      </w:r>
    </w:p>
    <w:p>
      <w:pPr>
        <w:pStyle w:val="BodyText"/>
        <w:spacing w:line="249" w:lineRule="auto" w:before="79"/>
        <w:ind w:left="117" w:right="328"/>
        <w:jc w:val="both"/>
      </w:pPr>
      <w:r>
        <w:rPr/>
        <w:br w:type="column"/>
      </w:r>
      <w:r>
        <w:rPr>
          <w:color w:val="231F20"/>
        </w:rPr>
        <w:t>Liderliğin geleceğini etkileyen eğilimlerde, öne çıkan faktö- rün “teknoloji” olduğu tespit edilmiştir.</w:t>
      </w:r>
    </w:p>
    <w:p>
      <w:pPr>
        <w:pStyle w:val="BodyText"/>
        <w:spacing w:before="8"/>
        <w:rPr>
          <w:sz w:val="16"/>
        </w:rPr>
      </w:pPr>
    </w:p>
    <w:p>
      <w:pPr>
        <w:pStyle w:val="BodyText"/>
        <w:spacing w:line="249" w:lineRule="auto"/>
        <w:ind w:left="117" w:right="329"/>
        <w:jc w:val="both"/>
      </w:pPr>
      <w:r>
        <w:rPr/>
        <w:pict>
          <v:group style="position:absolute;margin-left:49.6063pt;margin-top:-8.265072pt;width:377.05pt;height:.25pt;mso-position-horizontal-relative:page;mso-position-vertical-relative:paragraph;z-index:15733248" coordorigin="992,-165" coordsize="7541,5">
            <v:line style="position:absolute" from="992,-163" to="1843,-163" stroked="true" strokeweight=".25pt" strokecolor="#231f20">
              <v:stroke dashstyle="solid"/>
            </v:line>
            <v:line style="position:absolute" from="1843,-163" to="5924,-163" stroked="true" strokeweight=".25pt" strokecolor="#231f20">
              <v:stroke dashstyle="solid"/>
            </v:line>
            <v:line style="position:absolute" from="5924,-163" to="8532,-163" stroked="true" strokeweight=".25pt" strokecolor="#231f20">
              <v:stroke dashstyle="solid"/>
            </v:line>
            <w10:wrap type="none"/>
          </v:group>
        </w:pict>
      </w:r>
      <w:r>
        <w:rPr/>
        <w:pict>
          <v:group style="position:absolute;margin-left:49.6063pt;margin-top:-59.828072pt;width:377.05pt;height:.5pt;mso-position-horizontal-relative:page;mso-position-vertical-relative:paragraph;z-index:15736320" coordorigin="992,-1197" coordsize="7541,10">
            <v:line style="position:absolute" from="992,-1192" to="1843,-1192" stroked="true" strokeweight=".5pt" strokecolor="#231f20">
              <v:stroke dashstyle="solid"/>
            </v:line>
            <v:line style="position:absolute" from="1843,-1192" to="5924,-1192" stroked="true" strokeweight=".5pt" strokecolor="#231f20">
              <v:stroke dashstyle="solid"/>
            </v:line>
            <v:line style="position:absolute" from="5924,-1192" to="8532,-1192" stroked="true" strokeweight=".5pt" strokecolor="#231f20">
              <v:stroke dashstyle="solid"/>
            </v:line>
            <w10:wrap type="none"/>
          </v:group>
        </w:pict>
      </w:r>
      <w:r>
        <w:rPr>
          <w:color w:val="231F20"/>
        </w:rPr>
        <w:t>Geleceğin liderlerinin sahip olması gereken yaklaşımlarda, öne çıkan faktörlerin “yenilik- çilik” ve “açıklık” olduğu tes- pit edilmiştir.</w:t>
      </w:r>
    </w:p>
    <w:p>
      <w:pPr>
        <w:pStyle w:val="BodyText"/>
        <w:spacing w:before="9"/>
        <w:rPr>
          <w:sz w:val="16"/>
        </w:rPr>
      </w:pPr>
    </w:p>
    <w:p>
      <w:pPr>
        <w:pStyle w:val="BodyText"/>
        <w:spacing w:line="249" w:lineRule="auto"/>
        <w:ind w:left="117" w:right="329"/>
        <w:jc w:val="both"/>
      </w:pPr>
      <w:r>
        <w:rPr/>
        <w:pict>
          <v:group style="position:absolute;margin-left:49.6063pt;margin-top:-2.269075pt;width:377.05pt;height:.25pt;mso-position-horizontal-relative:page;mso-position-vertical-relative:paragraph;z-index:15733760" coordorigin="992,-45" coordsize="7541,5">
            <v:line style="position:absolute" from="992,-43" to="1843,-43" stroked="true" strokeweight=".25pt" strokecolor="#231f20">
              <v:stroke dashstyle="solid"/>
            </v:line>
            <v:line style="position:absolute" from="1843,-43" to="5924,-43" stroked="true" strokeweight=".25pt" strokecolor="#231f20">
              <v:stroke dashstyle="solid"/>
            </v:line>
            <v:line style="position:absolute" from="5924,-43" to="8532,-43" stroked="true" strokeweight=".25pt" strokecolor="#231f20">
              <v:stroke dashstyle="solid"/>
            </v:line>
            <w10:wrap type="none"/>
          </v:group>
        </w:pict>
      </w:r>
      <w:r>
        <w:rPr/>
        <w:pict>
          <v:group style="position:absolute;margin-left:49.6063pt;margin-top:85.168922pt;width:377.05pt;height:.25pt;mso-position-horizontal-relative:page;mso-position-vertical-relative:paragraph;z-index:15734272" coordorigin="992,1703" coordsize="7541,5">
            <v:line style="position:absolute" from="992,1706" to="1843,1706" stroked="true" strokeweight=".25pt" strokecolor="#231f20">
              <v:stroke dashstyle="solid"/>
            </v:line>
            <v:line style="position:absolute" from="1843,1706" to="5924,1706" stroked="true" strokeweight=".25pt" strokecolor="#231f20">
              <v:stroke dashstyle="solid"/>
            </v:line>
            <v:line style="position:absolute" from="5924,1706" to="8532,1706" stroked="true" strokeweight=".25pt" strokecolor="#231f20">
              <v:stroke dashstyle="solid"/>
            </v:line>
            <w10:wrap type="none"/>
          </v:group>
        </w:pict>
      </w:r>
      <w:r>
        <w:rPr>
          <w:color w:val="231F20"/>
        </w:rPr>
        <w:t>Geleceğin liderlerinin sahip olması gereken becerilerde öne çıkan faktörlerin </w:t>
      </w:r>
      <w:r>
        <w:rPr>
          <w:color w:val="231F20"/>
          <w:spacing w:val="-3"/>
        </w:rPr>
        <w:t>“deği- </w:t>
      </w:r>
      <w:r>
        <w:rPr>
          <w:color w:val="231F20"/>
        </w:rPr>
        <w:t>şime açık olma”, “empati yapma” ve “iyi bir iletişim becerisine sahip olma” olduğu tespit</w:t>
      </w:r>
      <w:r>
        <w:rPr>
          <w:color w:val="231F20"/>
          <w:spacing w:val="-1"/>
        </w:rPr>
        <w:t> </w:t>
      </w:r>
      <w:r>
        <w:rPr>
          <w:color w:val="231F20"/>
        </w:rPr>
        <w:t>edilmiştir.</w:t>
      </w:r>
    </w:p>
    <w:p>
      <w:pPr>
        <w:pStyle w:val="BodyText"/>
        <w:spacing w:before="10"/>
        <w:rPr>
          <w:sz w:val="16"/>
        </w:rPr>
      </w:pPr>
    </w:p>
    <w:p>
      <w:pPr>
        <w:pStyle w:val="BodyText"/>
        <w:spacing w:line="249" w:lineRule="auto"/>
        <w:ind w:left="117" w:right="328"/>
        <w:jc w:val="both"/>
      </w:pPr>
      <w:r>
        <w:rPr/>
        <w:pict>
          <v:group style="position:absolute;margin-left:49.6063pt;margin-top:55.164925pt;width:377.05pt;height:.25pt;mso-position-horizontal-relative:page;mso-position-vertical-relative:paragraph;z-index:15734784" coordorigin="992,1103" coordsize="7541,5">
            <v:line style="position:absolute" from="992,1106" to="1843,1106" stroked="true" strokeweight=".25pt" strokecolor="#231f20">
              <v:stroke dashstyle="solid"/>
            </v:line>
            <v:line style="position:absolute" from="1843,1106" to="5924,1106" stroked="true" strokeweight=".25pt" strokecolor="#231f20">
              <v:stroke dashstyle="solid"/>
            </v:line>
            <v:line style="position:absolute" from="5924,1106" to="8532,1106" stroked="true" strokeweight=".25pt" strokecolor="#231f20">
              <v:stroke dashstyle="solid"/>
            </v:line>
            <w10:wrap type="none"/>
          </v:group>
        </w:pict>
      </w:r>
      <w:r>
        <w:rPr>
          <w:color w:val="231F20"/>
          <w:spacing w:val="-4"/>
        </w:rPr>
        <w:t>Verilen </w:t>
      </w:r>
      <w:r>
        <w:rPr>
          <w:color w:val="231F20"/>
        </w:rPr>
        <w:t>yanıtların çeşitlilik göstermiş olması sebebiyle, öne çıkan bir faktör tespit </w:t>
      </w:r>
      <w:r>
        <w:rPr>
          <w:color w:val="231F20"/>
          <w:spacing w:val="-3"/>
        </w:rPr>
        <w:t>edil- </w:t>
      </w:r>
      <w:r>
        <w:rPr>
          <w:color w:val="231F20"/>
        </w:rPr>
        <w:t>memiştir.</w:t>
      </w:r>
    </w:p>
    <w:p>
      <w:pPr>
        <w:pStyle w:val="BodyText"/>
        <w:spacing w:before="2"/>
        <w:rPr>
          <w:sz w:val="27"/>
        </w:rPr>
      </w:pPr>
    </w:p>
    <w:p>
      <w:pPr>
        <w:pStyle w:val="BodyText"/>
        <w:spacing w:line="249" w:lineRule="auto"/>
        <w:ind w:left="117" w:right="328"/>
        <w:jc w:val="both"/>
      </w:pPr>
      <w:r>
        <w:rPr>
          <w:color w:val="231F20"/>
          <w:spacing w:val="-4"/>
        </w:rPr>
        <w:t>Verilen </w:t>
      </w:r>
      <w:r>
        <w:rPr>
          <w:color w:val="231F20"/>
        </w:rPr>
        <w:t>yanıtların çeşitlilik göstermiş olması sebebiyle, öne çıkan bir faktör tespit </w:t>
      </w:r>
      <w:r>
        <w:rPr>
          <w:color w:val="231F20"/>
          <w:spacing w:val="-3"/>
        </w:rPr>
        <w:t>edil- </w:t>
      </w:r>
      <w:r>
        <w:rPr>
          <w:color w:val="231F20"/>
        </w:rPr>
        <w:t>memiştir.</w:t>
      </w:r>
    </w:p>
    <w:p>
      <w:pPr>
        <w:pStyle w:val="BodyText"/>
        <w:spacing w:before="8"/>
        <w:rPr>
          <w:sz w:val="16"/>
        </w:rPr>
      </w:pPr>
    </w:p>
    <w:p>
      <w:pPr>
        <w:pStyle w:val="BodyText"/>
        <w:spacing w:line="249" w:lineRule="auto"/>
        <w:ind w:left="117" w:right="329"/>
        <w:jc w:val="both"/>
      </w:pPr>
      <w:r>
        <w:rPr/>
        <w:pict>
          <v:group style="position:absolute;margin-left:49.6063pt;margin-top:-2.277067pt;width:377.05pt;height:.25pt;mso-position-horizontal-relative:page;mso-position-vertical-relative:paragraph;z-index:15735296" coordorigin="992,-46" coordsize="7541,5">
            <v:line style="position:absolute" from="992,-43" to="1843,-43" stroked="true" strokeweight=".25pt" strokecolor="#231f20">
              <v:stroke dashstyle="solid"/>
            </v:line>
            <v:line style="position:absolute" from="1843,-43" to="5924,-43" stroked="true" strokeweight=".25pt" strokecolor="#231f20">
              <v:stroke dashstyle="solid"/>
            </v:line>
            <v:line style="position:absolute" from="5924,-43" to="8532,-43" stroked="true" strokeweight=".25pt" strokecolor="#231f20">
              <v:stroke dashstyle="solid"/>
            </v:line>
            <w10:wrap type="none"/>
          </v:group>
        </w:pict>
      </w:r>
      <w:r>
        <w:rPr/>
        <w:pict>
          <v:group style="position:absolute;margin-left:92.125999pt;margin-top:61.158932pt;width:334.5pt;height:.25pt;mso-position-horizontal-relative:page;mso-position-vertical-relative:paragraph;z-index:15735808" coordorigin="1843,1223" coordsize="6690,5">
            <v:line style="position:absolute" from="1843,1226" to="5924,1226" stroked="true" strokeweight=".25pt" strokecolor="#231f20">
              <v:stroke dashstyle="solid"/>
            </v:line>
            <v:line style="position:absolute" from="5924,1226" to="8532,1226" stroked="true" strokeweight=".25pt" strokecolor="#231f20">
              <v:stroke dashstyle="solid"/>
            </v:line>
            <w10:wrap type="none"/>
          </v:group>
        </w:pict>
      </w:r>
      <w:r>
        <w:rPr>
          <w:color w:val="231F20"/>
        </w:rPr>
        <w:t>Liderlik hakkındaki </w:t>
      </w:r>
      <w:r>
        <w:rPr>
          <w:color w:val="231F20"/>
          <w:spacing w:val="-3"/>
        </w:rPr>
        <w:t>düşün- </w:t>
      </w:r>
      <w:r>
        <w:rPr>
          <w:color w:val="231F20"/>
        </w:rPr>
        <w:t>celerde öne çıkan faktörlerin “kendini sürekli geliştirme” ve “takım çalışmasını </w:t>
      </w:r>
      <w:r>
        <w:rPr>
          <w:color w:val="231F20"/>
          <w:spacing w:val="-4"/>
        </w:rPr>
        <w:t>benim- </w:t>
      </w:r>
      <w:r>
        <w:rPr>
          <w:color w:val="231F20"/>
        </w:rPr>
        <w:t>seme” olduğu tespit</w:t>
      </w:r>
      <w:r>
        <w:rPr>
          <w:color w:val="231F20"/>
          <w:spacing w:val="-4"/>
        </w:rPr>
        <w:t> </w:t>
      </w:r>
      <w:r>
        <w:rPr>
          <w:color w:val="231F20"/>
        </w:rPr>
        <w:t>edilmiştir</w:t>
      </w:r>
    </w:p>
    <w:p>
      <w:pPr>
        <w:pStyle w:val="BodyText"/>
        <w:spacing w:line="249" w:lineRule="auto" w:before="73"/>
        <w:ind w:left="117" w:right="328"/>
        <w:jc w:val="both"/>
      </w:pPr>
      <w:r>
        <w:rPr>
          <w:color w:val="231F20"/>
          <w:spacing w:val="-4"/>
        </w:rPr>
        <w:t>Verilen </w:t>
      </w:r>
      <w:r>
        <w:rPr>
          <w:color w:val="231F20"/>
        </w:rPr>
        <w:t>yanıtların çeşitlilik göstermiş  olması  sebebiy-  le, liderliğin gelişimi </w:t>
      </w:r>
      <w:r>
        <w:rPr>
          <w:color w:val="231F20"/>
          <w:spacing w:val="-3"/>
        </w:rPr>
        <w:t>üzerine </w:t>
      </w:r>
      <w:r>
        <w:rPr>
          <w:color w:val="231F20"/>
        </w:rPr>
        <w:t>yapılan çalışmalar için </w:t>
      </w:r>
      <w:r>
        <w:rPr>
          <w:color w:val="231F20"/>
          <w:spacing w:val="-5"/>
        </w:rPr>
        <w:t>öne </w:t>
      </w:r>
      <w:r>
        <w:rPr>
          <w:color w:val="231F20"/>
        </w:rPr>
        <w:t>çıkan bir faktör tespit </w:t>
      </w:r>
      <w:r>
        <w:rPr>
          <w:color w:val="231F20"/>
          <w:spacing w:val="-3"/>
        </w:rPr>
        <w:t>edilme- </w:t>
      </w:r>
      <w:r>
        <w:rPr>
          <w:color w:val="231F20"/>
        </w:rPr>
        <w:t>miştir.</w:t>
      </w:r>
    </w:p>
    <w:p>
      <w:pPr>
        <w:spacing w:after="0" w:line="249" w:lineRule="auto"/>
        <w:jc w:val="both"/>
        <w:sectPr>
          <w:type w:val="continuous"/>
          <w:pgSz w:w="9530" w:h="13610"/>
          <w:pgMar w:top="620" w:bottom="540" w:left="740" w:right="740"/>
          <w:cols w:num="3" w:equalWidth="0">
            <w:col w:w="808" w:space="40"/>
            <w:col w:w="4259" w:space="39"/>
            <w:col w:w="2904"/>
          </w:cols>
        </w:sectPr>
      </w:pPr>
    </w:p>
    <w:p>
      <w:pPr>
        <w:pStyle w:val="BodyText"/>
        <w:spacing w:before="4"/>
        <w:rPr>
          <w:sz w:val="2"/>
        </w:rPr>
      </w:pP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850,3" stroked="true" strokeweight=".25pt" strokecolor="#231f20">
              <v:stroke dashstyle="solid"/>
            </v:line>
            <v:line style="position:absolute" from="850,3" to="4932,3" stroked="true" strokeweight=".25pt" strokecolor="#231f20">
              <v:stroke dashstyle="solid"/>
            </v:line>
            <v:line style="position:absolute" from="4932,3" to="7540,3" stroked="true" strokeweight=".25pt" strokecolor="#231f20">
              <v:stroke dashstyle="solid"/>
            </v:line>
          </v:group>
        </w:pict>
      </w:r>
      <w:r>
        <w:rPr>
          <w:sz w:val="2"/>
        </w:rPr>
      </w:r>
    </w:p>
    <w:p>
      <w:pPr>
        <w:spacing w:after="0" w:line="20" w:lineRule="exact"/>
        <w:rPr>
          <w:sz w:val="2"/>
        </w:rPr>
        <w:sectPr>
          <w:type w:val="continuous"/>
          <w:pgSz w:w="9530" w:h="13610"/>
          <w:pgMar w:top="620" w:bottom="540" w:left="740" w:right="740"/>
        </w:sectPr>
      </w:pPr>
    </w:p>
    <w:p>
      <w:pPr>
        <w:pStyle w:val="BodyText"/>
      </w:pPr>
    </w:p>
    <w:p>
      <w:pPr>
        <w:spacing w:after="0"/>
        <w:sectPr>
          <w:pgSz w:w="9530" w:h="13610"/>
          <w:pgMar w:header="700" w:footer="344" w:top="1060" w:bottom="540" w:left="740" w:right="740"/>
        </w:sectPr>
      </w:pPr>
    </w:p>
    <w:p>
      <w:pPr>
        <w:pStyle w:val="BodyText"/>
        <w:spacing w:before="2"/>
      </w:pPr>
    </w:p>
    <w:p>
      <w:pPr>
        <w:pStyle w:val="Heading1"/>
        <w:ind w:left="251"/>
      </w:pPr>
      <w:r>
        <w:rPr/>
        <w:pict>
          <v:group style="position:absolute;margin-left:49.6063pt;margin-top:15.992946pt;width:377.05pt;height:.25pt;mso-position-horizontal-relative:page;mso-position-vertical-relative:paragraph;z-index:15737856" coordorigin="992,320" coordsize="7541,5">
            <v:line style="position:absolute" from="992,322" to="1843,322" stroked="true" strokeweight=".25pt" strokecolor="#231f20">
              <v:stroke dashstyle="solid"/>
            </v:line>
            <v:line style="position:absolute" from="1843,322" to="5924,322" stroked="true" strokeweight=".25pt" strokecolor="#231f20">
              <v:stroke dashstyle="solid"/>
            </v:line>
            <v:line style="position:absolute" from="5924,322" to="8532,322" stroked="true" strokeweight=".25pt" strokecolor="#231f20">
              <v:stroke dashstyle="solid"/>
            </v:line>
            <w10:wrap type="none"/>
          </v:group>
        </w:pict>
      </w:r>
      <w:r>
        <w:rPr>
          <w:color w:val="231F20"/>
        </w:rPr>
        <w:t>Tablo 2 devam</w:t>
      </w:r>
    </w:p>
    <w:p>
      <w:pPr>
        <w:pStyle w:val="BodyText"/>
        <w:rPr>
          <w:b/>
        </w:rPr>
      </w:pPr>
    </w:p>
    <w:p>
      <w:pPr>
        <w:pStyle w:val="BodyText"/>
        <w:spacing w:line="249" w:lineRule="auto" w:before="145"/>
        <w:ind w:left="1181"/>
      </w:pPr>
      <w:r>
        <w:rPr>
          <w:color w:val="231F20"/>
        </w:rPr>
        <w:t>Gelecek on yıl içinde lider olmak için işletmele- rin ihtiyacı olacak beceriler değişime açık, deği-</w:t>
      </w:r>
    </w:p>
    <w:p>
      <w:pPr>
        <w:pStyle w:val="BodyText"/>
      </w:pPr>
      <w:r>
        <w:rPr/>
        <w:br w:type="column"/>
      </w:r>
      <w:r>
        <w:rPr/>
      </w:r>
    </w:p>
    <w:p>
      <w:pPr>
        <w:pStyle w:val="BodyText"/>
      </w:pPr>
    </w:p>
    <w:p>
      <w:pPr>
        <w:pStyle w:val="BodyText"/>
        <w:spacing w:line="249" w:lineRule="auto" w:before="137"/>
        <w:ind w:left="118" w:right="329"/>
        <w:jc w:val="both"/>
      </w:pPr>
      <w:r>
        <w:rPr>
          <w:color w:val="231F20"/>
        </w:rPr>
        <w:t>Gelecek on yıl içinde lider olmak için işletmelerin </w:t>
      </w:r>
      <w:r>
        <w:rPr>
          <w:color w:val="231F20"/>
          <w:spacing w:val="-3"/>
        </w:rPr>
        <w:t>ihtiya- </w:t>
      </w:r>
      <w:r>
        <w:rPr>
          <w:color w:val="231F20"/>
        </w:rPr>
        <w:t>cı olacak becerilerde öne </w:t>
      </w:r>
      <w:r>
        <w:rPr>
          <w:color w:val="231F20"/>
          <w:spacing w:val="-4"/>
        </w:rPr>
        <w:t>çıkan</w:t>
      </w:r>
    </w:p>
    <w:p>
      <w:pPr>
        <w:spacing w:after="0" w:line="249" w:lineRule="auto"/>
        <w:jc w:val="both"/>
        <w:sectPr>
          <w:type w:val="continuous"/>
          <w:pgSz w:w="9530" w:h="13610"/>
          <w:pgMar w:top="620" w:bottom="540" w:left="740" w:right="740"/>
          <w:cols w:num="2" w:equalWidth="0">
            <w:col w:w="5106" w:space="40"/>
            <w:col w:w="2904"/>
          </w:cols>
        </w:sectPr>
      </w:pPr>
    </w:p>
    <w:p>
      <w:pPr>
        <w:pStyle w:val="Heading1"/>
        <w:spacing w:before="2"/>
        <w:ind w:left="546"/>
      </w:pPr>
      <w:r>
        <w:rPr/>
        <w:pict>
          <v:group style="position:absolute;margin-left:49.6063pt;margin-top:49.279945pt;width:377.05pt;height:.25pt;mso-position-horizontal-relative:page;mso-position-vertical-relative:paragraph;z-index:15738368" coordorigin="992,986" coordsize="7541,5">
            <v:line style="position:absolute" from="992,988" to="1843,988" stroked="true" strokeweight=".25pt" strokecolor="#231f20">
              <v:stroke dashstyle="solid"/>
            </v:line>
            <v:line style="position:absolute" from="1843,988" to="5924,988" stroked="true" strokeweight=".25pt" strokecolor="#231f20">
              <v:stroke dashstyle="solid"/>
            </v:line>
            <v:line style="position:absolute" from="5924,988" to="8532,988" stroked="true" strokeweight=".25pt" strokecolor="#231f20">
              <v:stroke dashstyle="solid"/>
            </v:line>
            <w10:wrap type="none"/>
          </v:group>
        </w:pict>
      </w:r>
      <w:r>
        <w:rPr>
          <w:color w:val="231F20"/>
        </w:rPr>
        <w:t>S7.</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2"/>
        </w:rPr>
      </w:pPr>
    </w:p>
    <w:p>
      <w:pPr>
        <w:spacing w:before="1"/>
        <w:ind w:left="546" w:right="0" w:firstLine="0"/>
        <w:jc w:val="left"/>
        <w:rPr>
          <w:b/>
          <w:sz w:val="20"/>
        </w:rPr>
      </w:pPr>
      <w:r>
        <w:rPr>
          <w:b/>
          <w:color w:val="231F20"/>
          <w:sz w:val="20"/>
        </w:rPr>
        <w:t>S8.</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38"/>
        <w:ind w:left="546" w:right="0" w:firstLine="0"/>
        <w:jc w:val="left"/>
        <w:rPr>
          <w:b/>
          <w:sz w:val="20"/>
        </w:rPr>
      </w:pPr>
      <w:r>
        <w:rPr/>
        <w:pict>
          <v:group style="position:absolute;margin-left:49.6063pt;margin-top:-25.36306pt;width:377.05pt;height:.25pt;mso-position-horizontal-relative:page;mso-position-vertical-relative:paragraph;z-index:15738880" coordorigin="992,-507" coordsize="7541,5">
            <v:line style="position:absolute" from="992,-505" to="1843,-505" stroked="true" strokeweight=".25pt" strokecolor="#231f20">
              <v:stroke dashstyle="solid"/>
            </v:line>
            <v:line style="position:absolute" from="1843,-505" to="5924,-505" stroked="true" strokeweight=".25pt" strokecolor="#231f20">
              <v:stroke dashstyle="solid"/>
            </v:line>
            <v:line style="position:absolute" from="5924,-505" to="8532,-505" stroked="true" strokeweight=".25pt" strokecolor="#231f20">
              <v:stroke dashstyle="solid"/>
            </v:line>
            <w10:wrap type="none"/>
          </v:group>
        </w:pict>
      </w:r>
      <w:r>
        <w:rPr/>
        <w:pict>
          <v:group style="position:absolute;margin-left:49.6063pt;margin-top:50.07394pt;width:377.05pt;height:.25pt;mso-position-horizontal-relative:page;mso-position-vertical-relative:paragraph;z-index:15739392" coordorigin="992,1001" coordsize="7541,5">
            <v:line style="position:absolute" from="992,1004" to="1843,1004" stroked="true" strokeweight=".25pt" strokecolor="#231f20">
              <v:stroke dashstyle="solid"/>
            </v:line>
            <v:line style="position:absolute" from="1843,1004" to="5924,1004" stroked="true" strokeweight=".25pt" strokecolor="#231f20">
              <v:stroke dashstyle="solid"/>
            </v:line>
            <v:line style="position:absolute" from="5924,1004" to="8532,1004" stroked="true" strokeweight=".25pt" strokecolor="#231f20">
              <v:stroke dashstyle="solid"/>
            </v:line>
            <w10:wrap type="none"/>
          </v:group>
        </w:pict>
      </w:r>
      <w:r>
        <w:rPr>
          <w:b/>
          <w:color w:val="231F20"/>
          <w:sz w:val="20"/>
        </w:rPr>
        <w:t>S9.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1"/>
        </w:rPr>
      </w:pPr>
    </w:p>
    <w:p>
      <w:pPr>
        <w:spacing w:before="0"/>
        <w:ind w:left="496" w:right="0" w:firstLine="0"/>
        <w:jc w:val="left"/>
        <w:rPr>
          <w:b/>
          <w:sz w:val="20"/>
        </w:rPr>
      </w:pPr>
      <w:r>
        <w:rPr>
          <w:b/>
          <w:color w:val="231F20"/>
          <w:spacing w:val="-1"/>
          <w:sz w:val="20"/>
        </w:rPr>
        <w:t>S10.</w:t>
      </w:r>
    </w:p>
    <w:p>
      <w:pPr>
        <w:pStyle w:val="BodyText"/>
        <w:spacing w:line="249" w:lineRule="auto" w:before="2"/>
        <w:ind w:left="284" w:right="1"/>
        <w:jc w:val="both"/>
      </w:pPr>
      <w:r>
        <w:rPr/>
        <w:br w:type="column"/>
      </w:r>
      <w:r>
        <w:rPr>
          <w:color w:val="231F20"/>
        </w:rPr>
        <w:t>şime kolay adapte, yenilikçi, teknolojiye hakim, ileri görüşlü, gelişmeye açık, birçok alanda</w:t>
      </w:r>
      <w:r>
        <w:rPr>
          <w:color w:val="231F20"/>
          <w:spacing w:val="-35"/>
        </w:rPr>
        <w:t> </w:t>
      </w:r>
      <w:r>
        <w:rPr>
          <w:color w:val="231F20"/>
          <w:spacing w:val="-3"/>
        </w:rPr>
        <w:t>dona- </w:t>
      </w:r>
      <w:r>
        <w:rPr>
          <w:color w:val="231F20"/>
        </w:rPr>
        <w:t>nımlı liderler olarak</w:t>
      </w:r>
      <w:r>
        <w:rPr>
          <w:color w:val="231F20"/>
          <w:spacing w:val="-2"/>
        </w:rPr>
        <w:t> </w:t>
      </w:r>
      <w:r>
        <w:rPr>
          <w:color w:val="231F20"/>
        </w:rPr>
        <w:t>belirtilmiştir.</w:t>
      </w:r>
    </w:p>
    <w:p>
      <w:pPr>
        <w:pStyle w:val="BodyText"/>
        <w:rPr>
          <w:sz w:val="27"/>
        </w:rPr>
      </w:pPr>
    </w:p>
    <w:p>
      <w:pPr>
        <w:pStyle w:val="BodyText"/>
        <w:spacing w:line="249" w:lineRule="auto"/>
        <w:ind w:left="284"/>
        <w:jc w:val="both"/>
      </w:pPr>
      <w:r>
        <w:rPr>
          <w:color w:val="231F20"/>
        </w:rPr>
        <w:t>Liderliğin tanımı yol gösteren, etkin ve etkili ile- tişime sahip, hal ve davranışlarıyla örnek, dijital çağa ekibini hazırlayabilen, hızla değişen </w:t>
      </w:r>
      <w:r>
        <w:rPr>
          <w:color w:val="231F20"/>
          <w:spacing w:val="-3"/>
        </w:rPr>
        <w:t>koşul- </w:t>
      </w:r>
      <w:r>
        <w:rPr>
          <w:color w:val="231F20"/>
        </w:rPr>
        <w:t>lara uyum sağlayabilen, hızlı düşünen ve karar alabilen, çok yönlü özelliklere  sahip,  değişim ve yeniliklere cesaretle adım atan, çalışanları </w:t>
      </w:r>
      <w:r>
        <w:rPr>
          <w:color w:val="231F20"/>
          <w:spacing w:val="-4"/>
        </w:rPr>
        <w:t>bir </w:t>
      </w:r>
      <w:r>
        <w:rPr>
          <w:color w:val="231F20"/>
        </w:rPr>
        <w:t>arada tutabilen, öngörü sahibi olarak belirtilmiş- </w:t>
      </w:r>
      <w:r>
        <w:rPr>
          <w:color w:val="231F20"/>
          <w:spacing w:val="-3"/>
        </w:rPr>
        <w:t>tir.</w:t>
      </w:r>
    </w:p>
    <w:p>
      <w:pPr>
        <w:pStyle w:val="BodyText"/>
        <w:spacing w:before="5"/>
        <w:rPr>
          <w:sz w:val="27"/>
        </w:rPr>
      </w:pPr>
    </w:p>
    <w:p>
      <w:pPr>
        <w:pStyle w:val="BodyText"/>
        <w:spacing w:line="249" w:lineRule="auto"/>
        <w:ind w:left="284" w:right="1"/>
        <w:jc w:val="both"/>
      </w:pPr>
      <w:r>
        <w:rPr>
          <w:color w:val="231F20"/>
        </w:rPr>
        <w:t>Liderliğin geleceği hakkında ek görüşler </w:t>
      </w:r>
      <w:r>
        <w:rPr>
          <w:color w:val="231F20"/>
          <w:spacing w:val="-3"/>
        </w:rPr>
        <w:t>hiyerar- </w:t>
      </w:r>
      <w:r>
        <w:rPr>
          <w:color w:val="231F20"/>
        </w:rPr>
        <w:t>şik yönetim tarzından uzak, kolektif zeka,</w:t>
      </w:r>
      <w:r>
        <w:rPr>
          <w:color w:val="231F20"/>
          <w:spacing w:val="-33"/>
        </w:rPr>
        <w:t> </w:t>
      </w:r>
      <w:r>
        <w:rPr>
          <w:color w:val="231F20"/>
        </w:rPr>
        <w:t>sürekli daha</w:t>
      </w:r>
      <w:r>
        <w:rPr>
          <w:color w:val="231F20"/>
          <w:spacing w:val="-7"/>
        </w:rPr>
        <w:t> </w:t>
      </w:r>
      <w:r>
        <w:rPr>
          <w:color w:val="231F20"/>
        </w:rPr>
        <w:t>iyiye</w:t>
      </w:r>
      <w:r>
        <w:rPr>
          <w:color w:val="231F20"/>
          <w:spacing w:val="-7"/>
        </w:rPr>
        <w:t> </w:t>
      </w:r>
      <w:r>
        <w:rPr>
          <w:color w:val="231F20"/>
        </w:rPr>
        <w:t>ulaşma,</w:t>
      </w:r>
      <w:r>
        <w:rPr>
          <w:color w:val="231F20"/>
          <w:spacing w:val="-6"/>
        </w:rPr>
        <w:t> </w:t>
      </w:r>
      <w:r>
        <w:rPr>
          <w:color w:val="231F20"/>
        </w:rPr>
        <w:t>bilgi</w:t>
      </w:r>
      <w:r>
        <w:rPr>
          <w:color w:val="231F20"/>
          <w:spacing w:val="-7"/>
        </w:rPr>
        <w:t> </w:t>
      </w:r>
      <w:r>
        <w:rPr>
          <w:color w:val="231F20"/>
        </w:rPr>
        <w:t>ve</w:t>
      </w:r>
      <w:r>
        <w:rPr>
          <w:color w:val="231F20"/>
          <w:spacing w:val="-6"/>
        </w:rPr>
        <w:t> </w:t>
      </w:r>
      <w:r>
        <w:rPr>
          <w:color w:val="231F20"/>
        </w:rPr>
        <w:t>beceri</w:t>
      </w:r>
      <w:r>
        <w:rPr>
          <w:color w:val="231F20"/>
          <w:spacing w:val="-7"/>
        </w:rPr>
        <w:t> </w:t>
      </w:r>
      <w:r>
        <w:rPr>
          <w:color w:val="231F20"/>
        </w:rPr>
        <w:t>odaklılık,</w:t>
      </w:r>
      <w:r>
        <w:rPr>
          <w:color w:val="231F20"/>
          <w:spacing w:val="-7"/>
        </w:rPr>
        <w:t> </w:t>
      </w:r>
      <w:r>
        <w:rPr>
          <w:color w:val="231F20"/>
          <w:spacing w:val="-4"/>
        </w:rPr>
        <w:t>insan </w:t>
      </w:r>
      <w:r>
        <w:rPr>
          <w:color w:val="231F20"/>
        </w:rPr>
        <w:t>odaklılık olarak</w:t>
      </w:r>
      <w:r>
        <w:rPr>
          <w:color w:val="231F20"/>
          <w:spacing w:val="-1"/>
        </w:rPr>
        <w:t> </w:t>
      </w:r>
      <w:r>
        <w:rPr>
          <w:color w:val="231F20"/>
        </w:rPr>
        <w:t>belirtilmiştir.</w:t>
      </w:r>
    </w:p>
    <w:p>
      <w:pPr>
        <w:pStyle w:val="BodyText"/>
        <w:spacing w:before="2"/>
        <w:rPr>
          <w:sz w:val="27"/>
        </w:rPr>
      </w:pPr>
    </w:p>
    <w:p>
      <w:pPr>
        <w:pStyle w:val="BodyText"/>
        <w:spacing w:line="249" w:lineRule="auto"/>
        <w:ind w:left="284"/>
        <w:jc w:val="both"/>
      </w:pPr>
      <w:r>
        <w:rPr>
          <w:color w:val="231F20"/>
        </w:rPr>
        <w:t>Daha</w:t>
      </w:r>
      <w:r>
        <w:rPr>
          <w:color w:val="231F20"/>
          <w:spacing w:val="-8"/>
        </w:rPr>
        <w:t> </w:t>
      </w:r>
      <w:r>
        <w:rPr>
          <w:color w:val="231F20"/>
        </w:rPr>
        <w:t>etkili</w:t>
      </w:r>
      <w:r>
        <w:rPr>
          <w:color w:val="231F20"/>
          <w:spacing w:val="-7"/>
        </w:rPr>
        <w:t> </w:t>
      </w:r>
      <w:r>
        <w:rPr>
          <w:color w:val="231F20"/>
        </w:rPr>
        <w:t>bir</w:t>
      </w:r>
      <w:r>
        <w:rPr>
          <w:color w:val="231F20"/>
          <w:spacing w:val="-7"/>
        </w:rPr>
        <w:t> </w:t>
      </w:r>
      <w:r>
        <w:rPr>
          <w:color w:val="231F20"/>
        </w:rPr>
        <w:t>lider</w:t>
      </w:r>
      <w:r>
        <w:rPr>
          <w:color w:val="231F20"/>
          <w:spacing w:val="-7"/>
        </w:rPr>
        <w:t> </w:t>
      </w:r>
      <w:r>
        <w:rPr>
          <w:color w:val="231F20"/>
        </w:rPr>
        <w:t>olmak</w:t>
      </w:r>
      <w:r>
        <w:rPr>
          <w:color w:val="231F20"/>
          <w:spacing w:val="-7"/>
        </w:rPr>
        <w:t> </w:t>
      </w:r>
      <w:r>
        <w:rPr>
          <w:color w:val="231F20"/>
        </w:rPr>
        <w:t>için</w:t>
      </w:r>
      <w:r>
        <w:rPr>
          <w:color w:val="231F20"/>
          <w:spacing w:val="-7"/>
        </w:rPr>
        <w:t> </w:t>
      </w:r>
      <w:r>
        <w:rPr>
          <w:color w:val="231F20"/>
        </w:rPr>
        <w:t>kullanılması</w:t>
      </w:r>
      <w:r>
        <w:rPr>
          <w:color w:val="231F20"/>
          <w:spacing w:val="-8"/>
        </w:rPr>
        <w:t> </w:t>
      </w:r>
      <w:r>
        <w:rPr>
          <w:color w:val="231F20"/>
          <w:spacing w:val="-3"/>
        </w:rPr>
        <w:t>gere- </w:t>
      </w:r>
      <w:r>
        <w:rPr>
          <w:color w:val="231F20"/>
        </w:rPr>
        <w:t>ken teknikler koçluk, mentorluk, duygusal </w:t>
      </w:r>
      <w:r>
        <w:rPr>
          <w:color w:val="231F20"/>
          <w:spacing w:val="-3"/>
        </w:rPr>
        <w:t>zeka, </w:t>
      </w:r>
      <w:r>
        <w:rPr>
          <w:color w:val="231F20"/>
        </w:rPr>
        <w:t>geri bildirimlerde bulunmak, ileriyi gören, </w:t>
      </w:r>
      <w:r>
        <w:rPr>
          <w:color w:val="231F20"/>
          <w:spacing w:val="-3"/>
        </w:rPr>
        <w:t>yeni- </w:t>
      </w:r>
      <w:r>
        <w:rPr>
          <w:color w:val="231F20"/>
        </w:rPr>
        <w:t>liklere açık bir vizyon sahibi olmak, çalışanları cesaretlendirmek, teknolojiyi takip ederek </w:t>
      </w:r>
      <w:r>
        <w:rPr>
          <w:color w:val="231F20"/>
          <w:spacing w:val="-4"/>
        </w:rPr>
        <w:t>aktif </w:t>
      </w:r>
      <w:r>
        <w:rPr>
          <w:color w:val="231F20"/>
        </w:rPr>
        <w:t>kullanmak, gelişime odaklılık, çalışanların </w:t>
      </w:r>
      <w:r>
        <w:rPr>
          <w:color w:val="231F20"/>
          <w:spacing w:val="-4"/>
        </w:rPr>
        <w:t>yara- </w:t>
      </w:r>
      <w:r>
        <w:rPr>
          <w:color w:val="231F20"/>
        </w:rPr>
        <w:t>tıcılığını güçlendirmek olarak</w:t>
      </w:r>
      <w:r>
        <w:rPr>
          <w:color w:val="231F20"/>
          <w:spacing w:val="-3"/>
        </w:rPr>
        <w:t> </w:t>
      </w:r>
      <w:r>
        <w:rPr>
          <w:color w:val="231F20"/>
        </w:rPr>
        <w:t>belirtilmiştir.</w:t>
      </w:r>
    </w:p>
    <w:p>
      <w:pPr>
        <w:pStyle w:val="BodyText"/>
        <w:spacing w:line="249" w:lineRule="auto" w:before="2"/>
        <w:ind w:left="116" w:right="328"/>
        <w:jc w:val="both"/>
      </w:pPr>
      <w:r>
        <w:rPr/>
        <w:br w:type="column"/>
      </w:r>
      <w:r>
        <w:rPr>
          <w:color w:val="231F20"/>
        </w:rPr>
        <w:t>faktörlerin “değişime açıklık”, “çok yönlülük” ve “değişimle- re kolay adapte olma” olduğu tespit edilmiştir</w:t>
      </w:r>
    </w:p>
    <w:p>
      <w:pPr>
        <w:pStyle w:val="BodyText"/>
      </w:pPr>
    </w:p>
    <w:p>
      <w:pPr>
        <w:pStyle w:val="BodyText"/>
        <w:rPr>
          <w:sz w:val="28"/>
        </w:rPr>
      </w:pPr>
    </w:p>
    <w:p>
      <w:pPr>
        <w:pStyle w:val="BodyText"/>
        <w:spacing w:line="249" w:lineRule="auto"/>
        <w:ind w:left="116" w:right="328"/>
        <w:jc w:val="both"/>
      </w:pPr>
      <w:r>
        <w:rPr>
          <w:color w:val="231F20"/>
          <w:spacing w:val="-4"/>
        </w:rPr>
        <w:t>Verilen </w:t>
      </w:r>
      <w:r>
        <w:rPr>
          <w:color w:val="231F20"/>
        </w:rPr>
        <w:t>yanıtların çeşitlilik göstermiş olması sebebiyle, öne çıkan bir faktör tespit </w:t>
      </w:r>
      <w:r>
        <w:rPr>
          <w:color w:val="231F20"/>
          <w:spacing w:val="-3"/>
        </w:rPr>
        <w:t>edil- </w:t>
      </w:r>
      <w:r>
        <w:rPr>
          <w:color w:val="231F20"/>
        </w:rPr>
        <w:t>memiştir.</w:t>
      </w:r>
    </w:p>
    <w:p>
      <w:pPr>
        <w:pStyle w:val="BodyText"/>
      </w:pPr>
    </w:p>
    <w:p>
      <w:pPr>
        <w:pStyle w:val="BodyText"/>
        <w:rPr>
          <w:sz w:val="28"/>
        </w:rPr>
      </w:pPr>
    </w:p>
    <w:p>
      <w:pPr>
        <w:pStyle w:val="BodyText"/>
        <w:spacing w:line="249" w:lineRule="auto"/>
        <w:ind w:left="116" w:right="328"/>
        <w:jc w:val="both"/>
      </w:pPr>
      <w:r>
        <w:rPr>
          <w:color w:val="231F20"/>
          <w:spacing w:val="-4"/>
        </w:rPr>
        <w:t>Verilen </w:t>
      </w:r>
      <w:r>
        <w:rPr>
          <w:color w:val="231F20"/>
        </w:rPr>
        <w:t>yanıtların çeşitlilik göstermiş  olması  sebebiy-  le, liderliğin gelişimi </w:t>
      </w:r>
      <w:r>
        <w:rPr>
          <w:color w:val="231F20"/>
          <w:spacing w:val="-3"/>
        </w:rPr>
        <w:t>üzerine </w:t>
      </w:r>
      <w:r>
        <w:rPr>
          <w:color w:val="231F20"/>
        </w:rPr>
        <w:t>yapılan çalışmalar için </w:t>
      </w:r>
      <w:r>
        <w:rPr>
          <w:color w:val="231F20"/>
          <w:spacing w:val="-5"/>
        </w:rPr>
        <w:t>öne </w:t>
      </w:r>
      <w:r>
        <w:rPr>
          <w:color w:val="231F20"/>
        </w:rPr>
        <w:t>çıkan bir faktör tespit </w:t>
      </w:r>
      <w:r>
        <w:rPr>
          <w:color w:val="231F20"/>
          <w:spacing w:val="-3"/>
        </w:rPr>
        <w:t>edilme- </w:t>
      </w:r>
      <w:r>
        <w:rPr>
          <w:color w:val="231F20"/>
        </w:rPr>
        <w:t>miştir.</w:t>
      </w:r>
    </w:p>
    <w:p>
      <w:pPr>
        <w:pStyle w:val="BodyText"/>
        <w:spacing w:before="9"/>
        <w:rPr>
          <w:sz w:val="16"/>
        </w:rPr>
      </w:pPr>
    </w:p>
    <w:p>
      <w:pPr>
        <w:pStyle w:val="BodyText"/>
        <w:spacing w:line="249" w:lineRule="auto" w:before="1"/>
        <w:ind w:left="116" w:right="328"/>
        <w:jc w:val="both"/>
      </w:pPr>
      <w:r>
        <w:rPr>
          <w:color w:val="231F20"/>
        </w:rPr>
        <w:t>Daha etkili bir lider olmak için kullanılması gereken </w:t>
      </w:r>
      <w:r>
        <w:rPr>
          <w:color w:val="231F20"/>
          <w:spacing w:val="-4"/>
        </w:rPr>
        <w:t>tek- </w:t>
      </w:r>
      <w:r>
        <w:rPr>
          <w:color w:val="231F20"/>
        </w:rPr>
        <w:t>niklerde öne çıkan faktörlerin “yeniliklere açıklık”, “koçluk” ve “etkili iletişim” olduğu </w:t>
      </w:r>
      <w:r>
        <w:rPr>
          <w:color w:val="231F20"/>
          <w:spacing w:val="-4"/>
        </w:rPr>
        <w:t>tes- </w:t>
      </w:r>
      <w:r>
        <w:rPr>
          <w:color w:val="231F20"/>
        </w:rPr>
        <w:t>pit edilmiştir</w:t>
      </w:r>
    </w:p>
    <w:p>
      <w:pPr>
        <w:spacing w:after="0" w:line="249" w:lineRule="auto"/>
        <w:jc w:val="both"/>
        <w:sectPr>
          <w:type w:val="continuous"/>
          <w:pgSz w:w="9530" w:h="13610"/>
          <w:pgMar w:top="620" w:bottom="540" w:left="740" w:right="740"/>
          <w:cols w:num="3" w:equalWidth="0">
            <w:col w:w="858" w:space="40"/>
            <w:col w:w="4210" w:space="39"/>
            <w:col w:w="2903"/>
          </w:cols>
        </w:sectPr>
      </w:pPr>
    </w:p>
    <w:p>
      <w:pPr>
        <w:pStyle w:val="BodyText"/>
        <w:spacing w:before="3"/>
        <w:rPr>
          <w:sz w:val="2"/>
        </w:rPr>
      </w:pPr>
    </w:p>
    <w:p>
      <w:pPr>
        <w:pStyle w:val="BodyText"/>
        <w:spacing w:line="20" w:lineRule="exact"/>
        <w:ind w:left="247"/>
        <w:rPr>
          <w:sz w:val="2"/>
        </w:rPr>
      </w:pPr>
      <w:r>
        <w:rPr>
          <w:sz w:val="2"/>
        </w:rPr>
        <w:pict>
          <v:group style="width:377.05pt;height:.5pt;mso-position-horizontal-relative:char;mso-position-vertical-relative:line" coordorigin="0,0" coordsize="7541,10">
            <v:line style="position:absolute" from="0,5" to="850,5" stroked="true" strokeweight=".5pt" strokecolor="#231f20">
              <v:stroke dashstyle="solid"/>
            </v:line>
            <v:line style="position:absolute" from="850,5" to="4932,5" stroked="true" strokeweight=".5pt" strokecolor="#231f20">
              <v:stroke dashstyle="solid"/>
            </v:line>
            <v:line style="position:absolute" from="4932,5" to="7540,5" stroked="true" strokeweight=".5pt" strokecolor="#231f20">
              <v:stroke dashstyle="solid"/>
            </v:line>
          </v:group>
        </w:pict>
      </w:r>
      <w:r>
        <w:rPr>
          <w:sz w:val="2"/>
        </w:rPr>
      </w:r>
    </w:p>
    <w:p>
      <w:pPr>
        <w:pStyle w:val="BodyText"/>
        <w:spacing w:before="1"/>
        <w:rPr>
          <w:sz w:val="11"/>
        </w:rPr>
      </w:pPr>
    </w:p>
    <w:p>
      <w:pPr>
        <w:pStyle w:val="BodyText"/>
        <w:spacing w:line="249" w:lineRule="auto" w:before="63"/>
        <w:ind w:left="251" w:right="249" w:firstLine="567"/>
        <w:jc w:val="both"/>
      </w:pPr>
      <w:r>
        <w:rPr>
          <w:color w:val="231F20"/>
        </w:rPr>
        <w:t>Bu kapsamda, algının ne yönde olduğu mülakat formunda yer alan sorular (S1, S4, S5, S6, S8, S9) aracılığıyla belirlenmeye çalışılmıştır. Geleceğin liderlerinin sahip olması gere- ken yaklaşımlar, beceriler ve daha etkili bir lider olmak için kullanılması gereken tekniklerin sorulduğu bu sorulara belirtilen görüşlerin literatürle uyumlu olarak çevik liderliği yansıttığı tespit edilmiştir. Yapılan literatür taraması ve mülakatlardan elde edilen sonuçlara dayalı ola- rak ölçek maddeleri yazılmış ve madde havuzu oluşturulmuştur.</w:t>
      </w:r>
    </w:p>
    <w:p>
      <w:pPr>
        <w:pStyle w:val="BodyText"/>
        <w:spacing w:before="2"/>
      </w:pPr>
    </w:p>
    <w:p>
      <w:pPr>
        <w:pStyle w:val="Heading1"/>
        <w:numPr>
          <w:ilvl w:val="2"/>
          <w:numId w:val="1"/>
        </w:numPr>
        <w:tabs>
          <w:tab w:pos="703" w:val="left" w:leader="none"/>
        </w:tabs>
        <w:spacing w:line="240" w:lineRule="auto" w:before="0" w:after="0"/>
        <w:ind w:left="702" w:right="0" w:hanging="452"/>
        <w:jc w:val="left"/>
      </w:pPr>
      <w:r>
        <w:rPr>
          <w:color w:val="034694"/>
        </w:rPr>
        <w:t>Kapsam Geçerliğinin</w:t>
      </w:r>
      <w:r>
        <w:rPr>
          <w:color w:val="034694"/>
          <w:spacing w:val="-1"/>
        </w:rPr>
        <w:t> </w:t>
      </w:r>
      <w:r>
        <w:rPr>
          <w:color w:val="034694"/>
        </w:rPr>
        <w:t>İncelenmesi</w:t>
      </w:r>
    </w:p>
    <w:p>
      <w:pPr>
        <w:pStyle w:val="BodyText"/>
        <w:spacing w:line="249" w:lineRule="auto" w:before="123"/>
        <w:ind w:left="251" w:right="249" w:firstLine="567"/>
        <w:jc w:val="both"/>
      </w:pPr>
      <w:r>
        <w:rPr>
          <w:color w:val="231F20"/>
        </w:rPr>
        <w:t>Bu</w:t>
      </w:r>
      <w:r>
        <w:rPr>
          <w:color w:val="231F20"/>
          <w:spacing w:val="-11"/>
        </w:rPr>
        <w:t> </w:t>
      </w:r>
      <w:r>
        <w:rPr>
          <w:color w:val="231F20"/>
        </w:rPr>
        <w:t>araştırmada</w:t>
      </w:r>
      <w:r>
        <w:rPr>
          <w:color w:val="231F20"/>
          <w:spacing w:val="-11"/>
        </w:rPr>
        <w:t> </w:t>
      </w:r>
      <w:r>
        <w:rPr>
          <w:color w:val="231F20"/>
        </w:rPr>
        <w:t>geliştirilen</w:t>
      </w:r>
      <w:r>
        <w:rPr>
          <w:color w:val="231F20"/>
          <w:spacing w:val="-10"/>
        </w:rPr>
        <w:t> </w:t>
      </w:r>
      <w:r>
        <w:rPr>
          <w:color w:val="231F20"/>
        </w:rPr>
        <w:t>ölçeğin</w:t>
      </w:r>
      <w:r>
        <w:rPr>
          <w:color w:val="231F20"/>
          <w:spacing w:val="-11"/>
        </w:rPr>
        <w:t> </w:t>
      </w:r>
      <w:r>
        <w:rPr>
          <w:color w:val="231F20"/>
        </w:rPr>
        <w:t>kapsam</w:t>
      </w:r>
      <w:r>
        <w:rPr>
          <w:color w:val="231F20"/>
          <w:spacing w:val="-11"/>
        </w:rPr>
        <w:t> </w:t>
      </w:r>
      <w:r>
        <w:rPr>
          <w:color w:val="231F20"/>
        </w:rPr>
        <w:t>geçerliğinin</w:t>
      </w:r>
      <w:r>
        <w:rPr>
          <w:color w:val="231F20"/>
          <w:spacing w:val="-10"/>
        </w:rPr>
        <w:t> </w:t>
      </w:r>
      <w:r>
        <w:rPr>
          <w:color w:val="231F20"/>
        </w:rPr>
        <w:t>test</w:t>
      </w:r>
      <w:r>
        <w:rPr>
          <w:color w:val="231F20"/>
          <w:spacing w:val="-11"/>
        </w:rPr>
        <w:t> </w:t>
      </w:r>
      <w:r>
        <w:rPr>
          <w:color w:val="231F20"/>
        </w:rPr>
        <w:t>edilmesinde</w:t>
      </w:r>
      <w:r>
        <w:rPr>
          <w:color w:val="231F20"/>
          <w:spacing w:val="-11"/>
        </w:rPr>
        <w:t> </w:t>
      </w:r>
      <w:r>
        <w:rPr>
          <w:color w:val="231F20"/>
        </w:rPr>
        <w:t>Davis</w:t>
      </w:r>
      <w:r>
        <w:rPr>
          <w:color w:val="231F20"/>
          <w:spacing w:val="-10"/>
        </w:rPr>
        <w:t> </w:t>
      </w:r>
      <w:r>
        <w:rPr>
          <w:color w:val="231F20"/>
        </w:rPr>
        <w:t>tekniğin- den yararlanılmıştır. Bu teknikte uzman görüşleri dörtlü derecelenmektedir; (a) madde</w:t>
      </w:r>
      <w:r>
        <w:rPr>
          <w:color w:val="231F20"/>
          <w:spacing w:val="-26"/>
        </w:rPr>
        <w:t> </w:t>
      </w:r>
      <w:r>
        <w:rPr>
          <w:color w:val="231F20"/>
        </w:rPr>
        <w:t>özelliği temsil</w:t>
      </w:r>
      <w:r>
        <w:rPr>
          <w:color w:val="231F20"/>
          <w:spacing w:val="-11"/>
        </w:rPr>
        <w:t> </w:t>
      </w:r>
      <w:r>
        <w:rPr>
          <w:color w:val="231F20"/>
        </w:rPr>
        <w:t>ediyor,</w:t>
      </w:r>
      <w:r>
        <w:rPr>
          <w:color w:val="231F20"/>
          <w:spacing w:val="-10"/>
        </w:rPr>
        <w:t> </w:t>
      </w:r>
      <w:r>
        <w:rPr>
          <w:color w:val="231F20"/>
        </w:rPr>
        <w:t>(b)</w:t>
      </w:r>
      <w:r>
        <w:rPr>
          <w:color w:val="231F20"/>
          <w:spacing w:val="-10"/>
        </w:rPr>
        <w:t> </w:t>
      </w:r>
      <w:r>
        <w:rPr>
          <w:color w:val="231F20"/>
        </w:rPr>
        <w:t>maddenin</w:t>
      </w:r>
      <w:r>
        <w:rPr>
          <w:color w:val="231F20"/>
          <w:spacing w:val="-10"/>
        </w:rPr>
        <w:t> </w:t>
      </w:r>
      <w:r>
        <w:rPr>
          <w:color w:val="231F20"/>
        </w:rPr>
        <w:t>biraz</w:t>
      </w:r>
      <w:r>
        <w:rPr>
          <w:color w:val="231F20"/>
          <w:spacing w:val="-10"/>
        </w:rPr>
        <w:t> </w:t>
      </w:r>
      <w:r>
        <w:rPr>
          <w:color w:val="231F20"/>
        </w:rPr>
        <w:t>düzeltilmeye</w:t>
      </w:r>
      <w:r>
        <w:rPr>
          <w:color w:val="231F20"/>
          <w:spacing w:val="-11"/>
        </w:rPr>
        <w:t> </w:t>
      </w:r>
      <w:r>
        <w:rPr>
          <w:color w:val="231F20"/>
        </w:rPr>
        <w:t>ihtiyacı</w:t>
      </w:r>
      <w:r>
        <w:rPr>
          <w:color w:val="231F20"/>
          <w:spacing w:val="-10"/>
        </w:rPr>
        <w:t> </w:t>
      </w:r>
      <w:r>
        <w:rPr>
          <w:color w:val="231F20"/>
        </w:rPr>
        <w:t>var,</w:t>
      </w:r>
      <w:r>
        <w:rPr>
          <w:color w:val="231F20"/>
          <w:spacing w:val="-10"/>
        </w:rPr>
        <w:t> </w:t>
      </w:r>
      <w:r>
        <w:rPr>
          <w:color w:val="231F20"/>
        </w:rPr>
        <w:t>(c)</w:t>
      </w:r>
      <w:r>
        <w:rPr>
          <w:color w:val="231F20"/>
          <w:spacing w:val="-10"/>
        </w:rPr>
        <w:t> </w:t>
      </w:r>
      <w:r>
        <w:rPr>
          <w:color w:val="231F20"/>
        </w:rPr>
        <w:t>maddenin</w:t>
      </w:r>
      <w:r>
        <w:rPr>
          <w:color w:val="231F20"/>
          <w:spacing w:val="-10"/>
        </w:rPr>
        <w:t> </w:t>
      </w:r>
      <w:r>
        <w:rPr>
          <w:color w:val="231F20"/>
        </w:rPr>
        <w:t>oldukça</w:t>
      </w:r>
      <w:r>
        <w:rPr>
          <w:color w:val="231F20"/>
          <w:spacing w:val="-10"/>
        </w:rPr>
        <w:t> </w:t>
      </w:r>
      <w:r>
        <w:rPr>
          <w:color w:val="231F20"/>
        </w:rPr>
        <w:t>düzeltilmeye ihtiyacı var, (d) madde özelliği temsil etmez. Bu teknikte en az üç en fazla 20 uzman öneril- mektedir.</w:t>
      </w:r>
      <w:r>
        <w:rPr>
          <w:color w:val="231F20"/>
          <w:spacing w:val="-6"/>
        </w:rPr>
        <w:t> </w:t>
      </w:r>
      <w:r>
        <w:rPr>
          <w:color w:val="231F20"/>
        </w:rPr>
        <w:t>Ölçekteki</w:t>
      </w:r>
      <w:r>
        <w:rPr>
          <w:color w:val="231F20"/>
          <w:spacing w:val="-6"/>
        </w:rPr>
        <w:t> </w:t>
      </w:r>
      <w:r>
        <w:rPr>
          <w:color w:val="231F20"/>
        </w:rPr>
        <w:t>her</w:t>
      </w:r>
      <w:r>
        <w:rPr>
          <w:color w:val="231F20"/>
          <w:spacing w:val="-5"/>
        </w:rPr>
        <w:t> </w:t>
      </w:r>
      <w:r>
        <w:rPr>
          <w:color w:val="231F20"/>
        </w:rPr>
        <w:t>bir</w:t>
      </w:r>
      <w:r>
        <w:rPr>
          <w:color w:val="231F20"/>
          <w:spacing w:val="-6"/>
        </w:rPr>
        <w:t> </w:t>
      </w:r>
      <w:r>
        <w:rPr>
          <w:color w:val="231F20"/>
        </w:rPr>
        <w:t>aday</w:t>
      </w:r>
      <w:r>
        <w:rPr>
          <w:color w:val="231F20"/>
          <w:spacing w:val="-6"/>
        </w:rPr>
        <w:t> </w:t>
      </w:r>
      <w:r>
        <w:rPr>
          <w:color w:val="231F20"/>
        </w:rPr>
        <w:t>madde</w:t>
      </w:r>
      <w:r>
        <w:rPr>
          <w:color w:val="231F20"/>
          <w:spacing w:val="-5"/>
        </w:rPr>
        <w:t> </w:t>
      </w:r>
      <w:r>
        <w:rPr>
          <w:color w:val="231F20"/>
        </w:rPr>
        <w:t>için</w:t>
      </w:r>
      <w:r>
        <w:rPr>
          <w:color w:val="231F20"/>
          <w:spacing w:val="-6"/>
        </w:rPr>
        <w:t> </w:t>
      </w:r>
      <w:r>
        <w:rPr>
          <w:color w:val="231F20"/>
        </w:rPr>
        <w:t>(a)</w:t>
      </w:r>
      <w:r>
        <w:rPr>
          <w:color w:val="231F20"/>
          <w:spacing w:val="-6"/>
        </w:rPr>
        <w:t> </w:t>
      </w:r>
      <w:r>
        <w:rPr>
          <w:color w:val="231F20"/>
        </w:rPr>
        <w:t>ve</w:t>
      </w:r>
      <w:r>
        <w:rPr>
          <w:color w:val="231F20"/>
          <w:spacing w:val="-5"/>
        </w:rPr>
        <w:t> </w:t>
      </w:r>
      <w:r>
        <w:rPr>
          <w:color w:val="231F20"/>
        </w:rPr>
        <w:t>(b)</w:t>
      </w:r>
      <w:r>
        <w:rPr>
          <w:color w:val="231F20"/>
          <w:spacing w:val="-6"/>
        </w:rPr>
        <w:t> </w:t>
      </w:r>
      <w:r>
        <w:rPr>
          <w:color w:val="231F20"/>
        </w:rPr>
        <w:t>seçeneğini</w:t>
      </w:r>
      <w:r>
        <w:rPr>
          <w:color w:val="231F20"/>
          <w:spacing w:val="-6"/>
        </w:rPr>
        <w:t> </w:t>
      </w:r>
      <w:r>
        <w:rPr>
          <w:color w:val="231F20"/>
        </w:rPr>
        <w:t>işaretleyen</w:t>
      </w:r>
      <w:r>
        <w:rPr>
          <w:color w:val="231F20"/>
          <w:spacing w:val="-5"/>
        </w:rPr>
        <w:t> </w:t>
      </w:r>
      <w:r>
        <w:rPr>
          <w:color w:val="231F20"/>
        </w:rPr>
        <w:t>uzmanların</w:t>
      </w:r>
      <w:r>
        <w:rPr>
          <w:color w:val="231F20"/>
          <w:spacing w:val="-6"/>
        </w:rPr>
        <w:t> </w:t>
      </w:r>
      <w:r>
        <w:rPr>
          <w:color w:val="231F20"/>
        </w:rPr>
        <w:t>sayısı</w:t>
      </w:r>
    </w:p>
    <w:p>
      <w:pPr>
        <w:spacing w:after="0" w:line="249" w:lineRule="auto"/>
        <w:jc w:val="both"/>
        <w:sectPr>
          <w:type w:val="continuous"/>
          <w:pgSz w:w="9530" w:h="13610"/>
          <w:pgMar w:top="620" w:bottom="540" w:left="740" w:right="740"/>
        </w:sectPr>
      </w:pPr>
    </w:p>
    <w:p>
      <w:pPr>
        <w:pStyle w:val="BodyText"/>
      </w:pPr>
    </w:p>
    <w:p>
      <w:pPr>
        <w:pStyle w:val="BodyText"/>
        <w:spacing w:before="1"/>
      </w:pPr>
    </w:p>
    <w:p>
      <w:pPr>
        <w:pStyle w:val="BodyText"/>
        <w:spacing w:line="249" w:lineRule="auto" w:before="1"/>
        <w:ind w:left="252" w:right="248"/>
        <w:jc w:val="both"/>
      </w:pPr>
      <w:r>
        <w:rPr>
          <w:color w:val="231F20"/>
        </w:rPr>
        <w:t>toplam uzman sayısına bölünerek, maddeye ilişkin kapsam geçerlik indeksi (KGİ) elde edi- lir. Elde edilen KGİ indeksinin 0,80’den büyük olması maddenin kapsam geçerliği açısından yeterli olduğunu göstermektedir (Davis, 1992).</w:t>
      </w:r>
    </w:p>
    <w:p>
      <w:pPr>
        <w:pStyle w:val="BodyText"/>
        <w:spacing w:line="249" w:lineRule="auto" w:before="115"/>
        <w:ind w:left="252" w:right="250" w:firstLine="567"/>
        <w:jc w:val="both"/>
      </w:pPr>
      <w:r>
        <w:rPr>
          <w:color w:val="231F20"/>
        </w:rPr>
        <w:t>Madde havuzunda yer alan ifadeler dörtlü derecelendirme skalasında hazırlanarak dört alan uzmanının görüş ve değerlendirmesine sunulmuştur. 4 uzman tarafından bildirilen görüş- lere</w:t>
      </w:r>
      <w:r>
        <w:rPr>
          <w:color w:val="231F20"/>
          <w:spacing w:val="-8"/>
        </w:rPr>
        <w:t> </w:t>
      </w:r>
      <w:r>
        <w:rPr>
          <w:color w:val="231F20"/>
        </w:rPr>
        <w:t>dayalı</w:t>
      </w:r>
      <w:r>
        <w:rPr>
          <w:color w:val="231F20"/>
          <w:spacing w:val="-8"/>
        </w:rPr>
        <w:t> </w:t>
      </w:r>
      <w:r>
        <w:rPr>
          <w:color w:val="231F20"/>
        </w:rPr>
        <w:t>olarak</w:t>
      </w:r>
      <w:r>
        <w:rPr>
          <w:color w:val="231F20"/>
          <w:spacing w:val="-8"/>
        </w:rPr>
        <w:t> </w:t>
      </w:r>
      <w:r>
        <w:rPr>
          <w:color w:val="231F20"/>
        </w:rPr>
        <w:t>her</w:t>
      </w:r>
      <w:r>
        <w:rPr>
          <w:color w:val="231F20"/>
          <w:spacing w:val="-8"/>
        </w:rPr>
        <w:t> </w:t>
      </w:r>
      <w:r>
        <w:rPr>
          <w:color w:val="231F20"/>
        </w:rPr>
        <w:t>madde</w:t>
      </w:r>
      <w:r>
        <w:rPr>
          <w:color w:val="231F20"/>
          <w:spacing w:val="-8"/>
        </w:rPr>
        <w:t> </w:t>
      </w:r>
      <w:r>
        <w:rPr>
          <w:color w:val="231F20"/>
        </w:rPr>
        <w:t>için</w:t>
      </w:r>
      <w:r>
        <w:rPr>
          <w:color w:val="231F20"/>
          <w:spacing w:val="-8"/>
        </w:rPr>
        <w:t> </w:t>
      </w:r>
      <w:r>
        <w:rPr>
          <w:color w:val="231F20"/>
        </w:rPr>
        <w:t>KGİ</w:t>
      </w:r>
      <w:r>
        <w:rPr>
          <w:color w:val="231F20"/>
          <w:spacing w:val="-8"/>
        </w:rPr>
        <w:t> </w:t>
      </w:r>
      <w:r>
        <w:rPr>
          <w:color w:val="231F20"/>
        </w:rPr>
        <w:t>indeksleri</w:t>
      </w:r>
      <w:r>
        <w:rPr>
          <w:color w:val="231F20"/>
          <w:spacing w:val="-7"/>
        </w:rPr>
        <w:t> </w:t>
      </w:r>
      <w:r>
        <w:rPr>
          <w:color w:val="231F20"/>
        </w:rPr>
        <w:t>hesaplanmıştır.</w:t>
      </w:r>
      <w:r>
        <w:rPr>
          <w:color w:val="231F20"/>
          <w:spacing w:val="-8"/>
        </w:rPr>
        <w:t> </w:t>
      </w:r>
      <w:r>
        <w:rPr>
          <w:color w:val="231F20"/>
        </w:rPr>
        <w:t>KGİ</w:t>
      </w:r>
      <w:r>
        <w:rPr>
          <w:color w:val="231F20"/>
          <w:spacing w:val="-8"/>
        </w:rPr>
        <w:t> </w:t>
      </w:r>
      <w:r>
        <w:rPr>
          <w:color w:val="231F20"/>
        </w:rPr>
        <w:t>sonuçları</w:t>
      </w:r>
      <w:r>
        <w:rPr>
          <w:color w:val="231F20"/>
          <w:spacing w:val="-8"/>
        </w:rPr>
        <w:t> </w:t>
      </w:r>
      <w:r>
        <w:rPr>
          <w:color w:val="231F20"/>
        </w:rPr>
        <w:t>ile</w:t>
      </w:r>
      <w:r>
        <w:rPr>
          <w:color w:val="231F20"/>
          <w:spacing w:val="-8"/>
        </w:rPr>
        <w:t> </w:t>
      </w:r>
      <w:r>
        <w:rPr>
          <w:color w:val="231F20"/>
        </w:rPr>
        <w:t>uzman</w:t>
      </w:r>
      <w:r>
        <w:rPr>
          <w:color w:val="231F20"/>
          <w:spacing w:val="-8"/>
        </w:rPr>
        <w:t> </w:t>
      </w:r>
      <w:r>
        <w:rPr>
          <w:color w:val="231F20"/>
        </w:rPr>
        <w:t>öneri ve düzeltmeleri doğrultusunda 30 ifadeli bir ölçme aracı ortaya konulmuştur. Ölçme aracının teorik yapısı ise, üç alt boyutta</w:t>
      </w:r>
      <w:r>
        <w:rPr>
          <w:color w:val="231F20"/>
          <w:spacing w:val="-3"/>
        </w:rPr>
        <w:t> </w:t>
      </w:r>
      <w:r>
        <w:rPr>
          <w:color w:val="231F20"/>
        </w:rPr>
        <w:t>sınıflandırılmıştır.</w:t>
      </w:r>
    </w:p>
    <w:p>
      <w:pPr>
        <w:pStyle w:val="BodyText"/>
        <w:spacing w:line="249" w:lineRule="auto" w:before="118"/>
        <w:ind w:left="252" w:right="249" w:firstLine="567"/>
        <w:jc w:val="both"/>
      </w:pPr>
      <w:r>
        <w:rPr>
          <w:color w:val="231F20"/>
        </w:rPr>
        <w:t>Liderlik ve yöneticilik birbirini tamamlayan, örtüşen faaliyetlerdir ve liderlik yönetici- lik becerilerini de gerektirmektedir. Bu durum yönderlik olarak türetilen bir kavramla ile ifade edilebilmektedir. Personelin işe ve iş yerine uyumunu kolaylaştırma, personele motivasyon kazandırma, hedef belirleme ve yön tayin etme yönderlerin çalışma sahasına girer. Burada yönetim ve organizasyon kabiliyetinin gelişmiş olması gerekir. Bunun için temel basamaklar ise, planlama, örgütleme, yöneltme ve kontroldür (Sarıçam, 2017).</w:t>
      </w:r>
    </w:p>
    <w:p>
      <w:pPr>
        <w:pStyle w:val="BodyText"/>
        <w:spacing w:line="249" w:lineRule="auto" w:before="118"/>
        <w:ind w:left="252" w:right="249" w:firstLine="567"/>
        <w:jc w:val="both"/>
      </w:pPr>
      <w:r>
        <w:rPr>
          <w:color w:val="231F20"/>
        </w:rPr>
        <w:t>Planlama hedeflenen sonuca varmak için ortaya konulan bir çeşit yol haritasıdır ve bu sonuca</w:t>
      </w:r>
      <w:r>
        <w:rPr>
          <w:color w:val="231F20"/>
          <w:spacing w:val="-12"/>
        </w:rPr>
        <w:t> </w:t>
      </w:r>
      <w:r>
        <w:rPr>
          <w:color w:val="231F20"/>
        </w:rPr>
        <w:t>ulaşmak</w:t>
      </w:r>
      <w:r>
        <w:rPr>
          <w:color w:val="231F20"/>
          <w:spacing w:val="-12"/>
        </w:rPr>
        <w:t> </w:t>
      </w:r>
      <w:r>
        <w:rPr>
          <w:color w:val="231F20"/>
        </w:rPr>
        <w:t>için</w:t>
      </w:r>
      <w:r>
        <w:rPr>
          <w:color w:val="231F20"/>
          <w:spacing w:val="-11"/>
        </w:rPr>
        <w:t> </w:t>
      </w:r>
      <w:r>
        <w:rPr>
          <w:color w:val="231F20"/>
        </w:rPr>
        <w:t>birçok</w:t>
      </w:r>
      <w:r>
        <w:rPr>
          <w:color w:val="231F20"/>
          <w:spacing w:val="-12"/>
        </w:rPr>
        <w:t> </w:t>
      </w:r>
      <w:r>
        <w:rPr>
          <w:color w:val="231F20"/>
        </w:rPr>
        <w:t>kaynaktan</w:t>
      </w:r>
      <w:r>
        <w:rPr>
          <w:color w:val="231F20"/>
          <w:spacing w:val="-11"/>
        </w:rPr>
        <w:t> </w:t>
      </w:r>
      <w:r>
        <w:rPr>
          <w:color w:val="231F20"/>
        </w:rPr>
        <w:t>faydalanılacaktır.</w:t>
      </w:r>
      <w:r>
        <w:rPr>
          <w:color w:val="231F20"/>
          <w:spacing w:val="-12"/>
        </w:rPr>
        <w:t> </w:t>
      </w:r>
      <w:r>
        <w:rPr>
          <w:color w:val="231F20"/>
        </w:rPr>
        <w:t>Bu</w:t>
      </w:r>
      <w:r>
        <w:rPr>
          <w:color w:val="231F20"/>
          <w:spacing w:val="-11"/>
        </w:rPr>
        <w:t> </w:t>
      </w:r>
      <w:r>
        <w:rPr>
          <w:color w:val="231F20"/>
        </w:rPr>
        <w:t>kaynakların</w:t>
      </w:r>
      <w:r>
        <w:rPr>
          <w:color w:val="231F20"/>
          <w:spacing w:val="-12"/>
        </w:rPr>
        <w:t> </w:t>
      </w:r>
      <w:r>
        <w:rPr>
          <w:color w:val="231F20"/>
        </w:rPr>
        <w:t>organizasyonu,</w:t>
      </w:r>
      <w:r>
        <w:rPr>
          <w:color w:val="231F20"/>
          <w:spacing w:val="-11"/>
        </w:rPr>
        <w:t> </w:t>
      </w:r>
      <w:r>
        <w:rPr>
          <w:color w:val="231F20"/>
        </w:rPr>
        <w:t>düzen- lenmesi ve haritalandırılması anlamına gelmektedir. Planlama ve organize etmenin ardından işin</w:t>
      </w:r>
      <w:r>
        <w:rPr>
          <w:color w:val="231F20"/>
          <w:spacing w:val="-8"/>
        </w:rPr>
        <w:t> </w:t>
      </w:r>
      <w:r>
        <w:rPr>
          <w:color w:val="231F20"/>
        </w:rPr>
        <w:t>ve</w:t>
      </w:r>
      <w:r>
        <w:rPr>
          <w:color w:val="231F20"/>
          <w:spacing w:val="-8"/>
        </w:rPr>
        <w:t> </w:t>
      </w:r>
      <w:r>
        <w:rPr>
          <w:color w:val="231F20"/>
        </w:rPr>
        <w:t>takımın</w:t>
      </w:r>
      <w:r>
        <w:rPr>
          <w:color w:val="231F20"/>
          <w:spacing w:val="-8"/>
        </w:rPr>
        <w:t> </w:t>
      </w:r>
      <w:r>
        <w:rPr>
          <w:color w:val="231F20"/>
        </w:rPr>
        <w:t>her</w:t>
      </w:r>
      <w:r>
        <w:rPr>
          <w:color w:val="231F20"/>
          <w:spacing w:val="-7"/>
        </w:rPr>
        <w:t> </w:t>
      </w:r>
      <w:r>
        <w:rPr>
          <w:color w:val="231F20"/>
        </w:rPr>
        <w:t>bakımdan</w:t>
      </w:r>
      <w:r>
        <w:rPr>
          <w:color w:val="231F20"/>
          <w:spacing w:val="-8"/>
        </w:rPr>
        <w:t> </w:t>
      </w:r>
      <w:r>
        <w:rPr>
          <w:color w:val="231F20"/>
        </w:rPr>
        <w:t>kontrol</w:t>
      </w:r>
      <w:r>
        <w:rPr>
          <w:color w:val="231F20"/>
          <w:spacing w:val="-8"/>
        </w:rPr>
        <w:t> </w:t>
      </w:r>
      <w:r>
        <w:rPr>
          <w:color w:val="231F20"/>
        </w:rPr>
        <w:t>altına</w:t>
      </w:r>
      <w:r>
        <w:rPr>
          <w:color w:val="231F20"/>
          <w:spacing w:val="-7"/>
        </w:rPr>
        <w:t> </w:t>
      </w:r>
      <w:r>
        <w:rPr>
          <w:color w:val="231F20"/>
        </w:rPr>
        <w:t>alınması</w:t>
      </w:r>
      <w:r>
        <w:rPr>
          <w:color w:val="231F20"/>
          <w:spacing w:val="-8"/>
        </w:rPr>
        <w:t> </w:t>
      </w:r>
      <w:r>
        <w:rPr>
          <w:color w:val="231F20"/>
        </w:rPr>
        <w:t>yöneltmenin</w:t>
      </w:r>
      <w:r>
        <w:rPr>
          <w:color w:val="231F20"/>
          <w:spacing w:val="-8"/>
        </w:rPr>
        <w:t> </w:t>
      </w:r>
      <w:r>
        <w:rPr>
          <w:color w:val="231F20"/>
        </w:rPr>
        <w:t>kapsamına</w:t>
      </w:r>
      <w:r>
        <w:rPr>
          <w:color w:val="231F20"/>
          <w:spacing w:val="-7"/>
        </w:rPr>
        <w:t> </w:t>
      </w:r>
      <w:r>
        <w:rPr>
          <w:color w:val="231F20"/>
        </w:rPr>
        <w:t>girmektedir</w:t>
      </w:r>
      <w:r>
        <w:rPr>
          <w:color w:val="231F20"/>
          <w:spacing w:val="-8"/>
        </w:rPr>
        <w:t> </w:t>
      </w:r>
      <w:r>
        <w:rPr>
          <w:color w:val="231F20"/>
          <w:spacing w:val="-3"/>
        </w:rPr>
        <w:t>(Sarı- </w:t>
      </w:r>
      <w:r>
        <w:rPr>
          <w:color w:val="231F20"/>
        </w:rPr>
        <w:t>çam, 2017). Bu kapsamda, örgütleme bir planlama faaliyeti olarak değerlendirilmiş ve ölçek planlama, yöneltme, kontrol olmak üzere üç alt boyutta tasarlanmıştır.</w:t>
      </w:r>
    </w:p>
    <w:p>
      <w:pPr>
        <w:pStyle w:val="BodyText"/>
        <w:spacing w:before="2"/>
      </w:pPr>
    </w:p>
    <w:p>
      <w:pPr>
        <w:pStyle w:val="Heading1"/>
        <w:numPr>
          <w:ilvl w:val="2"/>
          <w:numId w:val="1"/>
        </w:numPr>
        <w:tabs>
          <w:tab w:pos="753" w:val="left" w:leader="none"/>
        </w:tabs>
        <w:spacing w:line="240" w:lineRule="auto" w:before="0" w:after="0"/>
        <w:ind w:left="752" w:right="0" w:hanging="501"/>
        <w:jc w:val="left"/>
      </w:pPr>
      <w:r>
        <w:rPr>
          <w:color w:val="034694"/>
        </w:rPr>
        <w:t>Pilot</w:t>
      </w:r>
      <w:r>
        <w:rPr>
          <w:color w:val="034694"/>
          <w:spacing w:val="-1"/>
        </w:rPr>
        <w:t> </w:t>
      </w:r>
      <w:r>
        <w:rPr>
          <w:color w:val="034694"/>
        </w:rPr>
        <w:t>Uygulama</w:t>
      </w:r>
    </w:p>
    <w:p>
      <w:pPr>
        <w:pStyle w:val="BodyText"/>
        <w:spacing w:line="249" w:lineRule="auto" w:before="123"/>
        <w:ind w:left="252" w:right="248" w:firstLine="567"/>
        <w:jc w:val="both"/>
      </w:pPr>
      <w:r>
        <w:rPr>
          <w:color w:val="231F20"/>
        </w:rPr>
        <w:t>30 madde ile son hali verilen ölçek hedef kitleyle benzer özelliklere sahip 50 katılım- cıdan oluşan gruba uygulanarak pilot çalışma gerçekleştirilmiştir. Pilot çalışma için 30 ile 50 arasında katılımcı sayısının yeterli olduğu belirtilmiştir (Şeker &amp; Gençdoğan, 2014). Pilot uygulamada ölçeğin iç tutarlığı ve maddelerin ölçek ile uyumu hakkında bilgi elde edilmesi amaçlanır. Ölçeğin iç tutarlık düzeyi ile madde-toplam korelasyonları incelenir. Bu süreçte özellikle üzerinde durulması gereken husus pilot uygulamada elde edilen Cronbach Alfa</w:t>
      </w:r>
      <w:r>
        <w:rPr>
          <w:color w:val="231F20"/>
          <w:spacing w:val="-25"/>
        </w:rPr>
        <w:t> </w:t>
      </w:r>
      <w:r>
        <w:rPr>
          <w:color w:val="231F20"/>
        </w:rPr>
        <w:t>değe- rinin</w:t>
      </w:r>
      <w:r>
        <w:rPr>
          <w:color w:val="231F20"/>
          <w:spacing w:val="-5"/>
        </w:rPr>
        <w:t> </w:t>
      </w:r>
      <w:r>
        <w:rPr>
          <w:color w:val="231F20"/>
        </w:rPr>
        <w:t>0,70</w:t>
      </w:r>
      <w:r>
        <w:rPr>
          <w:color w:val="231F20"/>
          <w:spacing w:val="-4"/>
        </w:rPr>
        <w:t> </w:t>
      </w:r>
      <w:r>
        <w:rPr>
          <w:color w:val="231F20"/>
        </w:rPr>
        <w:t>ve</w:t>
      </w:r>
      <w:r>
        <w:rPr>
          <w:color w:val="231F20"/>
          <w:spacing w:val="-4"/>
        </w:rPr>
        <w:t> </w:t>
      </w:r>
      <w:r>
        <w:rPr>
          <w:color w:val="231F20"/>
        </w:rPr>
        <w:t>üzerinde</w:t>
      </w:r>
      <w:r>
        <w:rPr>
          <w:color w:val="231F20"/>
          <w:spacing w:val="-5"/>
        </w:rPr>
        <w:t> </w:t>
      </w:r>
      <w:r>
        <w:rPr>
          <w:color w:val="231F20"/>
        </w:rPr>
        <w:t>bir</w:t>
      </w:r>
      <w:r>
        <w:rPr>
          <w:color w:val="231F20"/>
          <w:spacing w:val="-4"/>
        </w:rPr>
        <w:t> </w:t>
      </w:r>
      <w:r>
        <w:rPr>
          <w:color w:val="231F20"/>
        </w:rPr>
        <w:t>değere</w:t>
      </w:r>
      <w:r>
        <w:rPr>
          <w:color w:val="231F20"/>
          <w:spacing w:val="-4"/>
        </w:rPr>
        <w:t> </w:t>
      </w:r>
      <w:r>
        <w:rPr>
          <w:color w:val="231F20"/>
        </w:rPr>
        <w:t>sahip</w:t>
      </w:r>
      <w:r>
        <w:rPr>
          <w:color w:val="231F20"/>
          <w:spacing w:val="-5"/>
        </w:rPr>
        <w:t> </w:t>
      </w:r>
      <w:r>
        <w:rPr>
          <w:color w:val="231F20"/>
        </w:rPr>
        <w:t>olup</w:t>
      </w:r>
      <w:r>
        <w:rPr>
          <w:color w:val="231F20"/>
          <w:spacing w:val="-4"/>
        </w:rPr>
        <w:t> </w:t>
      </w:r>
      <w:r>
        <w:rPr>
          <w:color w:val="231F20"/>
        </w:rPr>
        <w:t>olmadığının</w:t>
      </w:r>
      <w:r>
        <w:rPr>
          <w:color w:val="231F20"/>
          <w:spacing w:val="-4"/>
        </w:rPr>
        <w:t> </w:t>
      </w:r>
      <w:r>
        <w:rPr>
          <w:color w:val="231F20"/>
        </w:rPr>
        <w:t>incelenmesidir.</w:t>
      </w:r>
      <w:r>
        <w:rPr>
          <w:color w:val="231F20"/>
          <w:spacing w:val="-4"/>
        </w:rPr>
        <w:t> </w:t>
      </w:r>
      <w:r>
        <w:rPr>
          <w:color w:val="231F20"/>
        </w:rPr>
        <w:t>Eğer</w:t>
      </w:r>
      <w:r>
        <w:rPr>
          <w:color w:val="231F20"/>
          <w:spacing w:val="-5"/>
        </w:rPr>
        <w:t> </w:t>
      </w:r>
      <w:r>
        <w:rPr>
          <w:color w:val="231F20"/>
        </w:rPr>
        <w:t>0,70</w:t>
      </w:r>
      <w:r>
        <w:rPr>
          <w:color w:val="231F20"/>
          <w:spacing w:val="-4"/>
        </w:rPr>
        <w:t> </w:t>
      </w:r>
      <w:r>
        <w:rPr>
          <w:color w:val="231F20"/>
        </w:rPr>
        <w:t>ve</w:t>
      </w:r>
      <w:r>
        <w:rPr>
          <w:color w:val="231F20"/>
          <w:spacing w:val="-4"/>
        </w:rPr>
        <w:t> </w:t>
      </w:r>
      <w:r>
        <w:rPr>
          <w:color w:val="231F20"/>
        </w:rPr>
        <w:t>üzerinde bir değere sahip ise ölçeğin iç tutarlığa sahip olduğu söylenebilir (Seçer, 2015a). Pilot uygu- lama sonucunda elde edilen iç tutarlık katsayısı 0,984 olarak hesaplanmıştır. Bu değer pilot uygulama aşamasında ölçeğin yeterli iç tutarlığa sahip olduğunu</w:t>
      </w:r>
      <w:r>
        <w:rPr>
          <w:color w:val="231F20"/>
          <w:spacing w:val="-3"/>
        </w:rPr>
        <w:t> </w:t>
      </w:r>
      <w:r>
        <w:rPr>
          <w:color w:val="231F20"/>
        </w:rPr>
        <w:t>göstermektedir.</w:t>
      </w:r>
    </w:p>
    <w:p>
      <w:pPr>
        <w:pStyle w:val="BodyText"/>
        <w:spacing w:line="249" w:lineRule="auto" w:before="122"/>
        <w:ind w:left="252" w:right="248" w:firstLine="567"/>
        <w:jc w:val="both"/>
      </w:pPr>
      <w:r>
        <w:rPr>
          <w:color w:val="231F20"/>
        </w:rPr>
        <w:t>İç tutarlık değerinin yeterli olduğunun tespit edilmiş ve madde toplam korelasyon değerlerinin</w:t>
      </w:r>
      <w:r>
        <w:rPr>
          <w:color w:val="231F20"/>
          <w:spacing w:val="-7"/>
        </w:rPr>
        <w:t> </w:t>
      </w:r>
      <w:r>
        <w:rPr>
          <w:color w:val="231F20"/>
        </w:rPr>
        <w:t>0,475(en</w:t>
      </w:r>
      <w:r>
        <w:rPr>
          <w:color w:val="231F20"/>
          <w:spacing w:val="-6"/>
        </w:rPr>
        <w:t> </w:t>
      </w:r>
      <w:r>
        <w:rPr>
          <w:color w:val="231F20"/>
        </w:rPr>
        <w:t>düşük)-0,909(en</w:t>
      </w:r>
      <w:r>
        <w:rPr>
          <w:color w:val="231F20"/>
          <w:spacing w:val="-6"/>
        </w:rPr>
        <w:t> </w:t>
      </w:r>
      <w:r>
        <w:rPr>
          <w:color w:val="231F20"/>
        </w:rPr>
        <w:t>yüksek)</w:t>
      </w:r>
      <w:r>
        <w:rPr>
          <w:color w:val="231F20"/>
          <w:spacing w:val="-6"/>
        </w:rPr>
        <w:t> </w:t>
      </w:r>
      <w:r>
        <w:rPr>
          <w:color w:val="231F20"/>
        </w:rPr>
        <w:t>arasında</w:t>
      </w:r>
      <w:r>
        <w:rPr>
          <w:color w:val="231F20"/>
          <w:spacing w:val="-6"/>
        </w:rPr>
        <w:t> </w:t>
      </w:r>
      <w:r>
        <w:rPr>
          <w:color w:val="231F20"/>
        </w:rPr>
        <w:t>değişiklik</w:t>
      </w:r>
      <w:r>
        <w:rPr>
          <w:color w:val="231F20"/>
          <w:spacing w:val="-6"/>
        </w:rPr>
        <w:t> </w:t>
      </w:r>
      <w:r>
        <w:rPr>
          <w:color w:val="231F20"/>
        </w:rPr>
        <w:t>gösterdiği</w:t>
      </w:r>
      <w:r>
        <w:rPr>
          <w:color w:val="231F20"/>
          <w:spacing w:val="-6"/>
        </w:rPr>
        <w:t> </w:t>
      </w:r>
      <w:r>
        <w:rPr>
          <w:color w:val="231F20"/>
        </w:rPr>
        <w:t>gözlemlenmiştir. Maddelerin her birinin ölçeğin bütünüyle olan uyum düzeyinin yeterli olduğu görülmüştür. Madde-toplam test korelasyonunun yeterli olabilmesi için gerekli minimum değer 0,30 olarak belirtilmiştir (Kline, 2000).</w:t>
      </w:r>
    </w:p>
    <w:p>
      <w:pPr>
        <w:pStyle w:val="BodyText"/>
        <w:spacing w:line="249" w:lineRule="auto" w:before="118"/>
        <w:ind w:left="252" w:right="249" w:firstLine="567"/>
        <w:jc w:val="both"/>
      </w:pPr>
      <w:r>
        <w:rPr>
          <w:color w:val="231F20"/>
        </w:rPr>
        <w:t>Madde toplam korelasyonları ile birlikte madde ayırt ediciliği alt 27% ve üst 27% lik dilimlerde yer alan grupların puan ortalamaları bağımsız grup t-testi ile karşılaştırılarak ince- lenmiş ve karşılaştırma sonucunda alt ve üst grup madde puanlarının ortalamaları arasında istatistiksel olarak anlamlı farklılık bulunmuştur (p&lt;0,05; p&lt;0,001). Maddelerin her birinin ayırt edicilik güçlerinin olduğu tespit edilmiştir.</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Heading1"/>
        <w:numPr>
          <w:ilvl w:val="2"/>
          <w:numId w:val="1"/>
        </w:numPr>
        <w:tabs>
          <w:tab w:pos="753" w:val="left" w:leader="none"/>
        </w:tabs>
        <w:spacing w:line="240" w:lineRule="auto" w:before="1" w:after="0"/>
        <w:ind w:left="752" w:right="0" w:hanging="501"/>
        <w:jc w:val="left"/>
      </w:pPr>
      <w:r>
        <w:rPr>
          <w:color w:val="034694"/>
        </w:rPr>
        <w:t>Ölçüt Bağıntılı Geçerliğin</w:t>
      </w:r>
      <w:r>
        <w:rPr>
          <w:color w:val="034694"/>
          <w:spacing w:val="-1"/>
        </w:rPr>
        <w:t> </w:t>
      </w:r>
      <w:r>
        <w:rPr>
          <w:color w:val="034694"/>
        </w:rPr>
        <w:t>İncelenmesi</w:t>
      </w:r>
    </w:p>
    <w:p>
      <w:pPr>
        <w:pStyle w:val="BodyText"/>
        <w:spacing w:line="249" w:lineRule="auto" w:before="123"/>
        <w:ind w:left="252" w:right="249" w:firstLine="567"/>
        <w:jc w:val="both"/>
      </w:pPr>
      <w:r>
        <w:rPr>
          <w:color w:val="231F20"/>
        </w:rPr>
        <w:t>Pilot uygulama ile gerçekleştirilen madde ve güvenirlik analizleri sonucunda 30 madde ile son şekli verilen ölçeğin dış ölçüte göre geçerliği “Eşzaman Geçerliği” yöntemiyle test edilmiştir.</w:t>
      </w:r>
      <w:r>
        <w:rPr>
          <w:color w:val="231F20"/>
          <w:spacing w:val="-12"/>
        </w:rPr>
        <w:t> </w:t>
      </w:r>
      <w:r>
        <w:rPr>
          <w:color w:val="231F20"/>
        </w:rPr>
        <w:t>Eşzaman</w:t>
      </w:r>
      <w:r>
        <w:rPr>
          <w:color w:val="231F20"/>
          <w:spacing w:val="-11"/>
        </w:rPr>
        <w:t> </w:t>
      </w:r>
      <w:r>
        <w:rPr>
          <w:color w:val="231F20"/>
        </w:rPr>
        <w:t>geçerliğinde,</w:t>
      </w:r>
      <w:r>
        <w:rPr>
          <w:color w:val="231F20"/>
          <w:spacing w:val="-11"/>
        </w:rPr>
        <w:t> </w:t>
      </w:r>
      <w:r>
        <w:rPr>
          <w:color w:val="231F20"/>
        </w:rPr>
        <w:t>geliştirilmek</w:t>
      </w:r>
      <w:r>
        <w:rPr>
          <w:color w:val="231F20"/>
          <w:spacing w:val="-11"/>
        </w:rPr>
        <w:t> </w:t>
      </w:r>
      <w:r>
        <w:rPr>
          <w:color w:val="231F20"/>
        </w:rPr>
        <w:t>istenilen</w:t>
      </w:r>
      <w:r>
        <w:rPr>
          <w:color w:val="231F20"/>
          <w:spacing w:val="-12"/>
        </w:rPr>
        <w:t> </w:t>
      </w:r>
      <w:r>
        <w:rPr>
          <w:color w:val="231F20"/>
        </w:rPr>
        <w:t>ölçekten</w:t>
      </w:r>
      <w:r>
        <w:rPr>
          <w:color w:val="231F20"/>
          <w:spacing w:val="-11"/>
        </w:rPr>
        <w:t> </w:t>
      </w:r>
      <w:r>
        <w:rPr>
          <w:color w:val="231F20"/>
        </w:rPr>
        <w:t>alınan</w:t>
      </w:r>
      <w:r>
        <w:rPr>
          <w:color w:val="231F20"/>
          <w:spacing w:val="-11"/>
        </w:rPr>
        <w:t> </w:t>
      </w:r>
      <w:r>
        <w:rPr>
          <w:color w:val="231F20"/>
        </w:rPr>
        <w:t>puanlarla</w:t>
      </w:r>
      <w:r>
        <w:rPr>
          <w:color w:val="231F20"/>
          <w:spacing w:val="-11"/>
        </w:rPr>
        <w:t> </w:t>
      </w:r>
      <w:r>
        <w:rPr>
          <w:color w:val="231F20"/>
        </w:rPr>
        <w:t>aynı</w:t>
      </w:r>
      <w:r>
        <w:rPr>
          <w:color w:val="231F20"/>
          <w:spacing w:val="-12"/>
        </w:rPr>
        <w:t> </w:t>
      </w:r>
      <w:r>
        <w:rPr>
          <w:color w:val="231F20"/>
        </w:rPr>
        <w:t>kişilerin aynı davranışı veya ilişkili bir başka davranışı ölçen bir ölçekten aldıkları puanlar arasındaki korelasyona bakılır. Bu noktada önemli olan ölçüte ait puanların geliştirilmek istenilen ölçek- ten elde edilen puanlar ile aynı veya yakın zamanda sağlanmış olmasıdır. Eşzaman geçerliği, benzer ölçekler geçerliği veya uyum geçerliği olarak da bilinir (Büyüköztürk, 2016).</w:t>
      </w:r>
    </w:p>
    <w:p>
      <w:pPr>
        <w:pStyle w:val="BodyText"/>
        <w:spacing w:line="249" w:lineRule="auto" w:before="119"/>
        <w:ind w:left="252" w:right="249" w:firstLine="567"/>
        <w:jc w:val="both"/>
      </w:pPr>
      <w:r>
        <w:rPr>
          <w:color w:val="231F20"/>
        </w:rPr>
        <w:t>Bu</w:t>
      </w:r>
      <w:r>
        <w:rPr>
          <w:color w:val="231F20"/>
          <w:spacing w:val="-8"/>
        </w:rPr>
        <w:t> </w:t>
      </w:r>
      <w:r>
        <w:rPr>
          <w:color w:val="231F20"/>
        </w:rPr>
        <w:t>kapsamda,</w:t>
      </w:r>
      <w:r>
        <w:rPr>
          <w:color w:val="231F20"/>
          <w:spacing w:val="-7"/>
        </w:rPr>
        <w:t> </w:t>
      </w:r>
      <w:r>
        <w:rPr>
          <w:color w:val="231F20"/>
        </w:rPr>
        <w:t>birebir</w:t>
      </w:r>
      <w:r>
        <w:rPr>
          <w:color w:val="231F20"/>
          <w:spacing w:val="-8"/>
        </w:rPr>
        <w:t> </w:t>
      </w:r>
      <w:r>
        <w:rPr>
          <w:color w:val="231F20"/>
        </w:rPr>
        <w:t>aynı</w:t>
      </w:r>
      <w:r>
        <w:rPr>
          <w:color w:val="231F20"/>
          <w:spacing w:val="-7"/>
        </w:rPr>
        <w:t> </w:t>
      </w:r>
      <w:r>
        <w:rPr>
          <w:color w:val="231F20"/>
        </w:rPr>
        <w:t>kişilerden</w:t>
      </w:r>
      <w:r>
        <w:rPr>
          <w:color w:val="231F20"/>
          <w:spacing w:val="-7"/>
        </w:rPr>
        <w:t> </w:t>
      </w:r>
      <w:r>
        <w:rPr>
          <w:color w:val="231F20"/>
        </w:rPr>
        <w:t>oluşan</w:t>
      </w:r>
      <w:r>
        <w:rPr>
          <w:color w:val="231F20"/>
          <w:spacing w:val="-8"/>
        </w:rPr>
        <w:t> </w:t>
      </w:r>
      <w:r>
        <w:rPr>
          <w:color w:val="231F20"/>
        </w:rPr>
        <w:t>50</w:t>
      </w:r>
      <w:r>
        <w:rPr>
          <w:color w:val="231F20"/>
          <w:spacing w:val="-7"/>
        </w:rPr>
        <w:t> </w:t>
      </w:r>
      <w:r>
        <w:rPr>
          <w:color w:val="231F20"/>
        </w:rPr>
        <w:t>katılımcının</w:t>
      </w:r>
      <w:r>
        <w:rPr>
          <w:color w:val="231F20"/>
          <w:spacing w:val="-8"/>
        </w:rPr>
        <w:t> </w:t>
      </w:r>
      <w:r>
        <w:rPr>
          <w:color w:val="231F20"/>
        </w:rPr>
        <w:t>Liderlik</w:t>
      </w:r>
      <w:r>
        <w:rPr>
          <w:color w:val="231F20"/>
          <w:spacing w:val="-7"/>
        </w:rPr>
        <w:t> </w:t>
      </w:r>
      <w:r>
        <w:rPr>
          <w:color w:val="231F20"/>
        </w:rPr>
        <w:t>Davranış</w:t>
      </w:r>
      <w:r>
        <w:rPr>
          <w:color w:val="231F20"/>
          <w:spacing w:val="-8"/>
        </w:rPr>
        <w:t> </w:t>
      </w:r>
      <w:r>
        <w:rPr>
          <w:color w:val="231F20"/>
        </w:rPr>
        <w:t>Ölçeğine ait mevcut verileri ile pilot uygulamadan elde edilen Çevik Liderlik Becerisi Algısı Ölçeğine ait</w:t>
      </w:r>
      <w:r>
        <w:rPr>
          <w:color w:val="231F20"/>
          <w:spacing w:val="-4"/>
        </w:rPr>
        <w:t> </w:t>
      </w:r>
      <w:r>
        <w:rPr>
          <w:color w:val="231F20"/>
        </w:rPr>
        <w:t>veriler</w:t>
      </w:r>
      <w:r>
        <w:rPr>
          <w:color w:val="231F20"/>
          <w:spacing w:val="-4"/>
        </w:rPr>
        <w:t> </w:t>
      </w:r>
      <w:r>
        <w:rPr>
          <w:color w:val="231F20"/>
        </w:rPr>
        <w:t>arasındaki</w:t>
      </w:r>
      <w:r>
        <w:rPr>
          <w:color w:val="231F20"/>
          <w:spacing w:val="-4"/>
        </w:rPr>
        <w:t> </w:t>
      </w:r>
      <w:r>
        <w:rPr>
          <w:color w:val="231F20"/>
        </w:rPr>
        <w:t>korelasyon</w:t>
      </w:r>
      <w:r>
        <w:rPr>
          <w:color w:val="231F20"/>
          <w:spacing w:val="-4"/>
        </w:rPr>
        <w:t> </w:t>
      </w:r>
      <w:r>
        <w:rPr>
          <w:color w:val="231F20"/>
        </w:rPr>
        <w:t>incelenmiştir.</w:t>
      </w:r>
      <w:r>
        <w:rPr>
          <w:color w:val="231F20"/>
          <w:spacing w:val="-4"/>
        </w:rPr>
        <w:t> </w:t>
      </w:r>
      <w:r>
        <w:rPr>
          <w:color w:val="231F20"/>
        </w:rPr>
        <w:t>Çevik</w:t>
      </w:r>
      <w:r>
        <w:rPr>
          <w:color w:val="231F20"/>
          <w:spacing w:val="-4"/>
        </w:rPr>
        <w:t> </w:t>
      </w:r>
      <w:r>
        <w:rPr>
          <w:color w:val="231F20"/>
        </w:rPr>
        <w:t>Liderlik</w:t>
      </w:r>
      <w:r>
        <w:rPr>
          <w:color w:val="231F20"/>
          <w:spacing w:val="-4"/>
        </w:rPr>
        <w:t> </w:t>
      </w:r>
      <w:r>
        <w:rPr>
          <w:color w:val="231F20"/>
        </w:rPr>
        <w:t>Becerisi</w:t>
      </w:r>
      <w:r>
        <w:rPr>
          <w:color w:val="231F20"/>
          <w:spacing w:val="-3"/>
        </w:rPr>
        <w:t> </w:t>
      </w:r>
      <w:r>
        <w:rPr>
          <w:color w:val="231F20"/>
        </w:rPr>
        <w:t>Algısı</w:t>
      </w:r>
      <w:r>
        <w:rPr>
          <w:color w:val="231F20"/>
          <w:spacing w:val="-4"/>
        </w:rPr>
        <w:t> </w:t>
      </w:r>
      <w:r>
        <w:rPr>
          <w:color w:val="231F20"/>
        </w:rPr>
        <w:t>Ölçeği</w:t>
      </w:r>
      <w:r>
        <w:rPr>
          <w:color w:val="231F20"/>
          <w:spacing w:val="-4"/>
        </w:rPr>
        <w:t> </w:t>
      </w:r>
      <w:r>
        <w:rPr>
          <w:color w:val="231F20"/>
        </w:rPr>
        <w:t>ile</w:t>
      </w:r>
      <w:r>
        <w:rPr>
          <w:color w:val="231F20"/>
          <w:spacing w:val="-4"/>
        </w:rPr>
        <w:t> </w:t>
      </w:r>
      <w:r>
        <w:rPr>
          <w:color w:val="231F20"/>
        </w:rPr>
        <w:t>Lider- lik Davranış Ölçeği arasında pozitif ve istatistiksel olarak anlamlı ilişki olduğu görülmüştür (r=0,692, p&lt;0,001).</w:t>
      </w:r>
    </w:p>
    <w:p>
      <w:pPr>
        <w:pStyle w:val="BodyText"/>
        <w:spacing w:line="249" w:lineRule="auto" w:before="118"/>
        <w:ind w:left="252" w:right="249" w:firstLine="567"/>
        <w:jc w:val="both"/>
      </w:pPr>
      <w:r>
        <w:rPr>
          <w:color w:val="231F20"/>
        </w:rPr>
        <w:t>Ölçüt bağıntılı geçerlikte, ölçek ve ölçüt arasındaki korelasyon katsayısı geçerlik kat- sayısı olarak ifade edilebilir. Her iki ölçeğin ilgili yapıları arasında beklenen yöndeki ve mik- tardaki ilişkiler bu geçerliğe kanıt oluşturur (Erkuş vd., 2017). İki ölçek arasındaki katsayı beklenildiği üzere pozitif yönde, orta seviyede ve güçlü anlamlılık düzeyindedir.</w:t>
      </w:r>
    </w:p>
    <w:p>
      <w:pPr>
        <w:pStyle w:val="BodyText"/>
      </w:pPr>
    </w:p>
    <w:p>
      <w:pPr>
        <w:pStyle w:val="Heading1"/>
      </w:pPr>
      <w:r>
        <w:rPr>
          <w:color w:val="231F20"/>
        </w:rPr>
        <w:t>Tablo 3: Ölçüt Bağıntılı Geçerliğine İlişkin Korelasyon Analizi Sonuçları (n=50)</w:t>
      </w:r>
    </w:p>
    <w:p>
      <w:pPr>
        <w:pStyle w:val="BodyText"/>
        <w:spacing w:before="6"/>
        <w:rPr>
          <w:b/>
          <w:sz w:val="8"/>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5"/>
        <w:gridCol w:w="1221"/>
        <w:gridCol w:w="1322"/>
        <w:gridCol w:w="922"/>
      </w:tblGrid>
      <w:tr>
        <w:trPr>
          <w:trHeight w:val="298" w:hRule="atLeast"/>
        </w:trPr>
        <w:tc>
          <w:tcPr>
            <w:tcW w:w="4075" w:type="dxa"/>
            <w:tcBorders>
              <w:top w:val="single" w:sz="4" w:space="0" w:color="231F20"/>
              <w:bottom w:val="single" w:sz="4" w:space="0" w:color="231F20"/>
            </w:tcBorders>
          </w:tcPr>
          <w:p>
            <w:pPr>
              <w:pStyle w:val="TableParagraph"/>
              <w:spacing w:before="37"/>
              <w:ind w:right="149"/>
              <w:jc w:val="right"/>
              <w:rPr>
                <w:b/>
                <w:sz w:val="20"/>
              </w:rPr>
            </w:pPr>
            <w:r>
              <w:rPr>
                <w:b/>
                <w:color w:val="231F20"/>
                <w:sz w:val="20"/>
              </w:rPr>
              <w:t>Ort.</w:t>
            </w:r>
          </w:p>
        </w:tc>
        <w:tc>
          <w:tcPr>
            <w:tcW w:w="1221" w:type="dxa"/>
            <w:tcBorders>
              <w:top w:val="single" w:sz="4" w:space="0" w:color="231F20"/>
              <w:bottom w:val="single" w:sz="4" w:space="0" w:color="231F20"/>
            </w:tcBorders>
          </w:tcPr>
          <w:p>
            <w:pPr>
              <w:pStyle w:val="TableParagraph"/>
              <w:spacing w:before="37"/>
              <w:ind w:left="633"/>
              <w:rPr>
                <w:b/>
                <w:sz w:val="20"/>
              </w:rPr>
            </w:pPr>
            <w:r>
              <w:rPr>
                <w:b/>
                <w:color w:val="231F20"/>
                <w:sz w:val="20"/>
              </w:rPr>
              <w:t>Ss.</w:t>
            </w:r>
          </w:p>
        </w:tc>
        <w:tc>
          <w:tcPr>
            <w:tcW w:w="1322" w:type="dxa"/>
            <w:tcBorders>
              <w:top w:val="single" w:sz="4" w:space="0" w:color="231F20"/>
              <w:bottom w:val="single" w:sz="4" w:space="0" w:color="231F20"/>
            </w:tcBorders>
          </w:tcPr>
          <w:p>
            <w:pPr>
              <w:pStyle w:val="TableParagraph"/>
              <w:spacing w:before="37"/>
              <w:ind w:right="86"/>
              <w:jc w:val="center"/>
              <w:rPr>
                <w:b/>
                <w:sz w:val="20"/>
              </w:rPr>
            </w:pPr>
            <w:r>
              <w:rPr>
                <w:b/>
                <w:color w:val="231F20"/>
                <w:sz w:val="20"/>
              </w:rPr>
              <w:t>1</w:t>
            </w:r>
          </w:p>
        </w:tc>
        <w:tc>
          <w:tcPr>
            <w:tcW w:w="922" w:type="dxa"/>
            <w:tcBorders>
              <w:top w:val="single" w:sz="4" w:space="0" w:color="231F20"/>
              <w:bottom w:val="single" w:sz="4" w:space="0" w:color="231F20"/>
            </w:tcBorders>
          </w:tcPr>
          <w:p>
            <w:pPr>
              <w:pStyle w:val="TableParagraph"/>
              <w:spacing w:before="37"/>
              <w:ind w:left="329"/>
              <w:rPr>
                <w:b/>
                <w:sz w:val="20"/>
              </w:rPr>
            </w:pPr>
            <w:r>
              <w:rPr>
                <w:b/>
                <w:color w:val="231F20"/>
                <w:sz w:val="20"/>
              </w:rPr>
              <w:t>2</w:t>
            </w:r>
          </w:p>
        </w:tc>
      </w:tr>
      <w:tr>
        <w:trPr>
          <w:trHeight w:val="301" w:hRule="atLeast"/>
        </w:trPr>
        <w:tc>
          <w:tcPr>
            <w:tcW w:w="4075" w:type="dxa"/>
            <w:tcBorders>
              <w:top w:val="single" w:sz="4" w:space="0" w:color="231F20"/>
              <w:bottom w:val="single" w:sz="2" w:space="0" w:color="231F20"/>
            </w:tcBorders>
          </w:tcPr>
          <w:p>
            <w:pPr>
              <w:pStyle w:val="TableParagraph"/>
              <w:tabs>
                <w:tab w:pos="3388" w:val="left" w:leader="none"/>
              </w:tabs>
              <w:spacing w:before="37"/>
              <w:ind w:right="55"/>
              <w:jc w:val="right"/>
              <w:rPr>
                <w:sz w:val="20"/>
              </w:rPr>
            </w:pPr>
            <w:r>
              <w:rPr>
                <w:color w:val="231F20"/>
                <w:sz w:val="20"/>
              </w:rPr>
              <w:t>1. Çevik Liderlik</w:t>
            </w:r>
            <w:r>
              <w:rPr>
                <w:color w:val="231F20"/>
                <w:spacing w:val="-3"/>
                <w:sz w:val="20"/>
              </w:rPr>
              <w:t> </w:t>
            </w:r>
            <w:r>
              <w:rPr>
                <w:color w:val="231F20"/>
                <w:sz w:val="20"/>
              </w:rPr>
              <w:t>Becerisi</w:t>
            </w:r>
            <w:r>
              <w:rPr>
                <w:color w:val="231F20"/>
                <w:spacing w:val="-13"/>
                <w:sz w:val="20"/>
              </w:rPr>
              <w:t> </w:t>
            </w:r>
            <w:r>
              <w:rPr>
                <w:color w:val="231F20"/>
                <w:sz w:val="20"/>
              </w:rPr>
              <w:t>Algısı</w:t>
              <w:tab/>
              <w:t>140,80</w:t>
            </w:r>
          </w:p>
        </w:tc>
        <w:tc>
          <w:tcPr>
            <w:tcW w:w="1221" w:type="dxa"/>
            <w:tcBorders>
              <w:top w:val="single" w:sz="4" w:space="0" w:color="231F20"/>
              <w:bottom w:val="single" w:sz="2" w:space="0" w:color="231F20"/>
            </w:tcBorders>
          </w:tcPr>
          <w:p>
            <w:pPr>
              <w:pStyle w:val="TableParagraph"/>
              <w:spacing w:before="37"/>
              <w:ind w:right="241"/>
              <w:jc w:val="right"/>
              <w:rPr>
                <w:sz w:val="20"/>
              </w:rPr>
            </w:pPr>
            <w:r>
              <w:rPr>
                <w:color w:val="231F20"/>
                <w:sz w:val="20"/>
              </w:rPr>
              <w:t>25,70</w:t>
            </w:r>
          </w:p>
        </w:tc>
        <w:tc>
          <w:tcPr>
            <w:tcW w:w="1322" w:type="dxa"/>
            <w:tcBorders>
              <w:top w:val="single" w:sz="4" w:space="0" w:color="231F20"/>
              <w:bottom w:val="single" w:sz="2" w:space="0" w:color="231F20"/>
            </w:tcBorders>
          </w:tcPr>
          <w:p>
            <w:pPr>
              <w:pStyle w:val="TableParagraph"/>
              <w:spacing w:before="37"/>
              <w:ind w:right="86"/>
              <w:jc w:val="center"/>
              <w:rPr>
                <w:sz w:val="20"/>
              </w:rPr>
            </w:pPr>
            <w:r>
              <w:rPr>
                <w:color w:val="231F20"/>
                <w:sz w:val="20"/>
              </w:rPr>
              <w:t>1</w:t>
            </w:r>
          </w:p>
        </w:tc>
        <w:tc>
          <w:tcPr>
            <w:tcW w:w="922" w:type="dxa"/>
            <w:tcBorders>
              <w:top w:val="single" w:sz="4" w:space="0" w:color="231F20"/>
              <w:bottom w:val="single" w:sz="2" w:space="0" w:color="231F20"/>
            </w:tcBorders>
          </w:tcPr>
          <w:p>
            <w:pPr>
              <w:pStyle w:val="TableParagraph"/>
              <w:spacing w:before="0"/>
              <w:rPr>
                <w:sz w:val="18"/>
              </w:rPr>
            </w:pPr>
          </w:p>
        </w:tc>
      </w:tr>
      <w:tr>
        <w:trPr>
          <w:trHeight w:val="303" w:hRule="atLeast"/>
        </w:trPr>
        <w:tc>
          <w:tcPr>
            <w:tcW w:w="4075" w:type="dxa"/>
            <w:tcBorders>
              <w:top w:val="single" w:sz="2" w:space="0" w:color="231F20"/>
              <w:bottom w:val="single" w:sz="2" w:space="0" w:color="231F20"/>
            </w:tcBorders>
          </w:tcPr>
          <w:p>
            <w:pPr>
              <w:pStyle w:val="TableParagraph"/>
              <w:tabs>
                <w:tab w:pos="3388" w:val="left" w:leader="none"/>
              </w:tabs>
              <w:ind w:right="54"/>
              <w:jc w:val="right"/>
              <w:rPr>
                <w:sz w:val="20"/>
              </w:rPr>
            </w:pPr>
            <w:r>
              <w:rPr>
                <w:color w:val="231F20"/>
                <w:sz w:val="20"/>
              </w:rPr>
              <w:t>2. Liderlik</w:t>
            </w:r>
            <w:r>
              <w:rPr>
                <w:color w:val="231F20"/>
                <w:spacing w:val="-5"/>
                <w:sz w:val="20"/>
              </w:rPr>
              <w:t> </w:t>
            </w:r>
            <w:r>
              <w:rPr>
                <w:color w:val="231F20"/>
                <w:sz w:val="20"/>
              </w:rPr>
              <w:t>Davranış</w:t>
            </w:r>
            <w:r>
              <w:rPr>
                <w:color w:val="231F20"/>
                <w:spacing w:val="-3"/>
                <w:sz w:val="20"/>
              </w:rPr>
              <w:t> </w:t>
            </w:r>
            <w:r>
              <w:rPr>
                <w:color w:val="231F20"/>
                <w:sz w:val="20"/>
              </w:rPr>
              <w:t>Ölçeği</w:t>
              <w:tab/>
              <w:t>123,46</w:t>
            </w:r>
          </w:p>
        </w:tc>
        <w:tc>
          <w:tcPr>
            <w:tcW w:w="1221" w:type="dxa"/>
            <w:tcBorders>
              <w:top w:val="single" w:sz="2" w:space="0" w:color="231F20"/>
              <w:bottom w:val="single" w:sz="2" w:space="0" w:color="231F20"/>
            </w:tcBorders>
          </w:tcPr>
          <w:p>
            <w:pPr>
              <w:pStyle w:val="TableParagraph"/>
              <w:ind w:right="240"/>
              <w:jc w:val="right"/>
              <w:rPr>
                <w:sz w:val="20"/>
              </w:rPr>
            </w:pPr>
            <w:r>
              <w:rPr>
                <w:color w:val="231F20"/>
                <w:sz w:val="20"/>
              </w:rPr>
              <w:t>23,62</w:t>
            </w:r>
          </w:p>
        </w:tc>
        <w:tc>
          <w:tcPr>
            <w:tcW w:w="1322" w:type="dxa"/>
            <w:tcBorders>
              <w:top w:val="single" w:sz="2" w:space="0" w:color="231F20"/>
              <w:bottom w:val="single" w:sz="2" w:space="0" w:color="231F20"/>
            </w:tcBorders>
          </w:tcPr>
          <w:p>
            <w:pPr>
              <w:pStyle w:val="TableParagraph"/>
              <w:ind w:left="223" w:right="308"/>
              <w:jc w:val="center"/>
              <w:rPr>
                <w:b/>
                <w:sz w:val="20"/>
              </w:rPr>
            </w:pPr>
            <w:r>
              <w:rPr>
                <w:b/>
                <w:color w:val="231F20"/>
                <w:sz w:val="20"/>
              </w:rPr>
              <w:t>0,692***</w:t>
            </w:r>
          </w:p>
        </w:tc>
        <w:tc>
          <w:tcPr>
            <w:tcW w:w="922" w:type="dxa"/>
            <w:tcBorders>
              <w:top w:val="single" w:sz="2" w:space="0" w:color="231F20"/>
              <w:bottom w:val="single" w:sz="2" w:space="0" w:color="231F20"/>
            </w:tcBorders>
          </w:tcPr>
          <w:p>
            <w:pPr>
              <w:pStyle w:val="TableParagraph"/>
              <w:ind w:left="330"/>
              <w:rPr>
                <w:sz w:val="20"/>
              </w:rPr>
            </w:pPr>
            <w:r>
              <w:rPr>
                <w:color w:val="231F20"/>
                <w:sz w:val="20"/>
              </w:rPr>
              <w:t>1</w:t>
            </w:r>
          </w:p>
        </w:tc>
      </w:tr>
      <w:tr>
        <w:trPr>
          <w:trHeight w:val="301" w:hRule="atLeast"/>
        </w:trPr>
        <w:tc>
          <w:tcPr>
            <w:tcW w:w="4075" w:type="dxa"/>
            <w:tcBorders>
              <w:top w:val="single" w:sz="2" w:space="0" w:color="231F20"/>
              <w:bottom w:val="single" w:sz="4" w:space="0" w:color="231F20"/>
            </w:tcBorders>
          </w:tcPr>
          <w:p>
            <w:pPr>
              <w:pStyle w:val="TableParagraph"/>
              <w:ind w:right="48"/>
              <w:jc w:val="right"/>
              <w:rPr>
                <w:b/>
                <w:sz w:val="20"/>
              </w:rPr>
            </w:pPr>
            <w:r>
              <w:rPr>
                <w:b/>
                <w:color w:val="231F20"/>
                <w:sz w:val="20"/>
              </w:rPr>
              <w:t>*p&lt; ,05; **p&lt; ,01;</w:t>
            </w:r>
          </w:p>
        </w:tc>
        <w:tc>
          <w:tcPr>
            <w:tcW w:w="1221" w:type="dxa"/>
            <w:tcBorders>
              <w:top w:val="single" w:sz="2" w:space="0" w:color="231F20"/>
              <w:bottom w:val="single" w:sz="4" w:space="0" w:color="231F20"/>
            </w:tcBorders>
          </w:tcPr>
          <w:p>
            <w:pPr>
              <w:pStyle w:val="TableParagraph"/>
              <w:ind w:right="244"/>
              <w:jc w:val="right"/>
              <w:rPr>
                <w:b/>
                <w:sz w:val="20"/>
              </w:rPr>
            </w:pPr>
            <w:r>
              <w:rPr>
                <w:b/>
                <w:color w:val="231F20"/>
                <w:sz w:val="20"/>
              </w:rPr>
              <w:t>***p&lt; ,001</w:t>
            </w:r>
          </w:p>
        </w:tc>
        <w:tc>
          <w:tcPr>
            <w:tcW w:w="1322" w:type="dxa"/>
            <w:tcBorders>
              <w:top w:val="single" w:sz="2" w:space="0" w:color="231F20"/>
              <w:bottom w:val="single" w:sz="4" w:space="0" w:color="231F20"/>
            </w:tcBorders>
          </w:tcPr>
          <w:p>
            <w:pPr>
              <w:pStyle w:val="TableParagraph"/>
              <w:spacing w:before="0"/>
              <w:rPr>
                <w:sz w:val="18"/>
              </w:rPr>
            </w:pPr>
          </w:p>
        </w:tc>
        <w:tc>
          <w:tcPr>
            <w:tcW w:w="922" w:type="dxa"/>
            <w:tcBorders>
              <w:top w:val="single" w:sz="2" w:space="0" w:color="231F20"/>
              <w:bottom w:val="single" w:sz="4" w:space="0" w:color="231F20"/>
            </w:tcBorders>
          </w:tcPr>
          <w:p>
            <w:pPr>
              <w:pStyle w:val="TableParagraph"/>
              <w:spacing w:before="0"/>
              <w:rPr>
                <w:sz w:val="18"/>
              </w:rPr>
            </w:pPr>
          </w:p>
        </w:tc>
      </w:tr>
    </w:tbl>
    <w:p>
      <w:pPr>
        <w:pStyle w:val="BodyText"/>
        <w:rPr>
          <w:b/>
          <w:sz w:val="17"/>
        </w:rPr>
      </w:pPr>
    </w:p>
    <w:p>
      <w:pPr>
        <w:pStyle w:val="BodyText"/>
        <w:spacing w:line="249" w:lineRule="auto"/>
        <w:ind w:left="252" w:right="247" w:firstLine="567"/>
        <w:jc w:val="both"/>
      </w:pPr>
      <w:r>
        <w:rPr>
          <w:color w:val="231F20"/>
        </w:rPr>
        <w:t>Ölçek maddeleri, korelasyonlara dayalı (madde-toplam korelasyonları) ve iç tutarlık ölçütüne</w:t>
      </w:r>
      <w:r>
        <w:rPr>
          <w:color w:val="231F20"/>
          <w:spacing w:val="-4"/>
        </w:rPr>
        <w:t> </w:t>
      </w:r>
      <w:r>
        <w:rPr>
          <w:color w:val="231F20"/>
        </w:rPr>
        <w:t>dayalı</w:t>
      </w:r>
      <w:r>
        <w:rPr>
          <w:color w:val="231F20"/>
          <w:spacing w:val="-4"/>
        </w:rPr>
        <w:t> </w:t>
      </w:r>
      <w:r>
        <w:rPr>
          <w:color w:val="231F20"/>
        </w:rPr>
        <w:t>(27%</w:t>
      </w:r>
      <w:r>
        <w:rPr>
          <w:color w:val="231F20"/>
          <w:spacing w:val="-4"/>
        </w:rPr>
        <w:t> </w:t>
      </w:r>
      <w:r>
        <w:rPr>
          <w:color w:val="231F20"/>
        </w:rPr>
        <w:t>alt</w:t>
      </w:r>
      <w:r>
        <w:rPr>
          <w:color w:val="231F20"/>
          <w:spacing w:val="-4"/>
        </w:rPr>
        <w:t> </w:t>
      </w:r>
      <w:r>
        <w:rPr>
          <w:color w:val="231F20"/>
        </w:rPr>
        <w:t>ve</w:t>
      </w:r>
      <w:r>
        <w:rPr>
          <w:color w:val="231F20"/>
          <w:spacing w:val="-4"/>
        </w:rPr>
        <w:t> </w:t>
      </w:r>
      <w:r>
        <w:rPr>
          <w:color w:val="231F20"/>
        </w:rPr>
        <w:t>üst</w:t>
      </w:r>
      <w:r>
        <w:rPr>
          <w:color w:val="231F20"/>
          <w:spacing w:val="-4"/>
        </w:rPr>
        <w:t> </w:t>
      </w:r>
      <w:r>
        <w:rPr>
          <w:color w:val="231F20"/>
        </w:rPr>
        <w:t>grup</w:t>
      </w:r>
      <w:r>
        <w:rPr>
          <w:color w:val="231F20"/>
          <w:spacing w:val="-4"/>
        </w:rPr>
        <w:t> </w:t>
      </w:r>
      <w:r>
        <w:rPr>
          <w:color w:val="231F20"/>
        </w:rPr>
        <w:t>ortalamaları</w:t>
      </w:r>
      <w:r>
        <w:rPr>
          <w:color w:val="231F20"/>
          <w:spacing w:val="-4"/>
        </w:rPr>
        <w:t> </w:t>
      </w:r>
      <w:r>
        <w:rPr>
          <w:color w:val="231F20"/>
        </w:rPr>
        <w:t>farkı)</w:t>
      </w:r>
      <w:r>
        <w:rPr>
          <w:color w:val="231F20"/>
          <w:spacing w:val="-4"/>
        </w:rPr>
        <w:t> </w:t>
      </w:r>
      <w:r>
        <w:rPr>
          <w:color w:val="231F20"/>
        </w:rPr>
        <w:t>madde</w:t>
      </w:r>
      <w:r>
        <w:rPr>
          <w:color w:val="231F20"/>
          <w:spacing w:val="-4"/>
        </w:rPr>
        <w:t> </w:t>
      </w:r>
      <w:r>
        <w:rPr>
          <w:color w:val="231F20"/>
        </w:rPr>
        <w:t>analizleri</w:t>
      </w:r>
      <w:r>
        <w:rPr>
          <w:color w:val="231F20"/>
          <w:spacing w:val="-4"/>
        </w:rPr>
        <w:t> </w:t>
      </w:r>
      <w:r>
        <w:rPr>
          <w:color w:val="231F20"/>
        </w:rPr>
        <w:t>ile</w:t>
      </w:r>
      <w:r>
        <w:rPr>
          <w:color w:val="231F20"/>
          <w:spacing w:val="-4"/>
        </w:rPr>
        <w:t> </w:t>
      </w:r>
      <w:r>
        <w:rPr>
          <w:color w:val="231F20"/>
        </w:rPr>
        <w:t>büyük</w:t>
      </w:r>
      <w:r>
        <w:rPr>
          <w:color w:val="231F20"/>
          <w:spacing w:val="-4"/>
        </w:rPr>
        <w:t> </w:t>
      </w:r>
      <w:r>
        <w:rPr>
          <w:color w:val="231F20"/>
        </w:rPr>
        <w:t>örneklemde incelenmiştir. Ebel (1965) madde toplam test korelasyon katsayılarının 0,40 üzerinde ise </w:t>
      </w:r>
      <w:r>
        <w:rPr>
          <w:color w:val="231F20"/>
          <w:spacing w:val="-4"/>
        </w:rPr>
        <w:t>çok </w:t>
      </w:r>
      <w:r>
        <w:rPr>
          <w:color w:val="231F20"/>
        </w:rPr>
        <w:t>iyi ayırt edici olduğunu belirtmiştir. Katılımcıların ölçek sorularına verdikleri cevapların mad- de-toplam test korelasyon değerleri incelenmiş ve 0,40’ın altında kalan madde olmadığı tespit edilmiştir.</w:t>
      </w:r>
      <w:r>
        <w:rPr>
          <w:color w:val="231F20"/>
          <w:spacing w:val="-12"/>
        </w:rPr>
        <w:t> </w:t>
      </w:r>
      <w:r>
        <w:rPr>
          <w:color w:val="231F20"/>
        </w:rPr>
        <w:t>Tüm</w:t>
      </w:r>
      <w:r>
        <w:rPr>
          <w:color w:val="231F20"/>
          <w:spacing w:val="-11"/>
        </w:rPr>
        <w:t> </w:t>
      </w:r>
      <w:r>
        <w:rPr>
          <w:color w:val="231F20"/>
        </w:rPr>
        <w:t>maddelerin</w:t>
      </w:r>
      <w:r>
        <w:rPr>
          <w:color w:val="231F20"/>
          <w:spacing w:val="-11"/>
        </w:rPr>
        <w:t> </w:t>
      </w:r>
      <w:r>
        <w:rPr>
          <w:color w:val="231F20"/>
        </w:rPr>
        <w:t>madde-toplam</w:t>
      </w:r>
      <w:r>
        <w:rPr>
          <w:color w:val="231F20"/>
          <w:spacing w:val="-11"/>
        </w:rPr>
        <w:t> </w:t>
      </w:r>
      <w:r>
        <w:rPr>
          <w:color w:val="231F20"/>
        </w:rPr>
        <w:t>test</w:t>
      </w:r>
      <w:r>
        <w:rPr>
          <w:color w:val="231F20"/>
          <w:spacing w:val="-11"/>
        </w:rPr>
        <w:t> </w:t>
      </w:r>
      <w:r>
        <w:rPr>
          <w:color w:val="231F20"/>
        </w:rPr>
        <w:t>korelasyon</w:t>
      </w:r>
      <w:r>
        <w:rPr>
          <w:color w:val="231F20"/>
          <w:spacing w:val="-11"/>
        </w:rPr>
        <w:t> </w:t>
      </w:r>
      <w:r>
        <w:rPr>
          <w:color w:val="231F20"/>
        </w:rPr>
        <w:t>değerlerinin</w:t>
      </w:r>
      <w:r>
        <w:rPr>
          <w:color w:val="231F20"/>
          <w:spacing w:val="-11"/>
        </w:rPr>
        <w:t> </w:t>
      </w:r>
      <w:r>
        <w:rPr>
          <w:color w:val="231F20"/>
        </w:rPr>
        <w:t>0,696</w:t>
      </w:r>
      <w:r>
        <w:rPr>
          <w:color w:val="231F20"/>
          <w:spacing w:val="-11"/>
        </w:rPr>
        <w:t> </w:t>
      </w:r>
      <w:r>
        <w:rPr>
          <w:color w:val="231F20"/>
        </w:rPr>
        <w:t>ile</w:t>
      </w:r>
      <w:r>
        <w:rPr>
          <w:color w:val="231F20"/>
          <w:spacing w:val="-11"/>
        </w:rPr>
        <w:t> </w:t>
      </w:r>
      <w:r>
        <w:rPr>
          <w:color w:val="231F20"/>
        </w:rPr>
        <w:t>0,837</w:t>
      </w:r>
      <w:r>
        <w:rPr>
          <w:color w:val="231F20"/>
          <w:spacing w:val="-11"/>
        </w:rPr>
        <w:t> </w:t>
      </w:r>
      <w:r>
        <w:rPr>
          <w:color w:val="231F20"/>
        </w:rPr>
        <w:t>arasında değişkenlik gösterdiği tespit edilmiştir.</w:t>
      </w:r>
    </w:p>
    <w:p>
      <w:pPr>
        <w:pStyle w:val="BodyText"/>
        <w:spacing w:line="249" w:lineRule="auto" w:before="119"/>
        <w:ind w:left="252" w:right="248" w:firstLine="567"/>
        <w:jc w:val="both"/>
      </w:pPr>
      <w:r>
        <w:rPr>
          <w:color w:val="231F20"/>
        </w:rPr>
        <w:t>Madde geçerliğini irdelemede kullanılan bir diğer iç ölçüt ise, testin toplam puanlarına göre</w:t>
      </w:r>
      <w:r>
        <w:rPr>
          <w:color w:val="231F20"/>
          <w:spacing w:val="-7"/>
        </w:rPr>
        <w:t> </w:t>
      </w:r>
      <w:r>
        <w:rPr>
          <w:color w:val="231F20"/>
        </w:rPr>
        <w:t>oluşturulan</w:t>
      </w:r>
      <w:r>
        <w:rPr>
          <w:color w:val="231F20"/>
          <w:spacing w:val="-6"/>
        </w:rPr>
        <w:t> </w:t>
      </w:r>
      <w:r>
        <w:rPr>
          <w:color w:val="231F20"/>
        </w:rPr>
        <w:t>alt</w:t>
      </w:r>
      <w:r>
        <w:rPr>
          <w:color w:val="231F20"/>
          <w:spacing w:val="-6"/>
        </w:rPr>
        <w:t> </w:t>
      </w:r>
      <w:r>
        <w:rPr>
          <w:color w:val="231F20"/>
        </w:rPr>
        <w:t>27%</w:t>
      </w:r>
      <w:r>
        <w:rPr>
          <w:color w:val="231F20"/>
          <w:spacing w:val="-6"/>
        </w:rPr>
        <w:t> </w:t>
      </w:r>
      <w:r>
        <w:rPr>
          <w:color w:val="231F20"/>
        </w:rPr>
        <w:t>ve</w:t>
      </w:r>
      <w:r>
        <w:rPr>
          <w:color w:val="231F20"/>
          <w:spacing w:val="-6"/>
        </w:rPr>
        <w:t> </w:t>
      </w:r>
      <w:r>
        <w:rPr>
          <w:color w:val="231F20"/>
        </w:rPr>
        <w:t>üst</w:t>
      </w:r>
      <w:r>
        <w:rPr>
          <w:color w:val="231F20"/>
          <w:spacing w:val="-6"/>
        </w:rPr>
        <w:t> </w:t>
      </w:r>
      <w:r>
        <w:rPr>
          <w:color w:val="231F20"/>
        </w:rPr>
        <w:t>27%</w:t>
      </w:r>
      <w:r>
        <w:rPr>
          <w:color w:val="231F20"/>
          <w:spacing w:val="-6"/>
        </w:rPr>
        <w:t> </w:t>
      </w:r>
      <w:r>
        <w:rPr>
          <w:color w:val="231F20"/>
        </w:rPr>
        <w:t>lik</w:t>
      </w:r>
      <w:r>
        <w:rPr>
          <w:color w:val="231F20"/>
          <w:spacing w:val="-6"/>
        </w:rPr>
        <w:t> </w:t>
      </w:r>
      <w:r>
        <w:rPr>
          <w:color w:val="231F20"/>
        </w:rPr>
        <w:t>grupların</w:t>
      </w:r>
      <w:r>
        <w:rPr>
          <w:color w:val="231F20"/>
          <w:spacing w:val="-6"/>
        </w:rPr>
        <w:t> </w:t>
      </w:r>
      <w:r>
        <w:rPr>
          <w:color w:val="231F20"/>
        </w:rPr>
        <w:t>madde</w:t>
      </w:r>
      <w:r>
        <w:rPr>
          <w:color w:val="231F20"/>
          <w:spacing w:val="-6"/>
        </w:rPr>
        <w:t> </w:t>
      </w:r>
      <w:r>
        <w:rPr>
          <w:color w:val="231F20"/>
        </w:rPr>
        <w:t>ortalama</w:t>
      </w:r>
      <w:r>
        <w:rPr>
          <w:color w:val="231F20"/>
          <w:spacing w:val="-6"/>
        </w:rPr>
        <w:t> </w:t>
      </w:r>
      <w:r>
        <w:rPr>
          <w:color w:val="231F20"/>
        </w:rPr>
        <w:t>puanları</w:t>
      </w:r>
      <w:r>
        <w:rPr>
          <w:color w:val="231F20"/>
          <w:spacing w:val="-6"/>
        </w:rPr>
        <w:t> </w:t>
      </w:r>
      <w:r>
        <w:rPr>
          <w:color w:val="231F20"/>
        </w:rPr>
        <w:t>arasındaki</w:t>
      </w:r>
      <w:r>
        <w:rPr>
          <w:color w:val="231F20"/>
          <w:spacing w:val="-6"/>
        </w:rPr>
        <w:t> </w:t>
      </w:r>
      <w:r>
        <w:rPr>
          <w:color w:val="231F20"/>
        </w:rPr>
        <w:t>farkların “bağımsız gruplar için t testi” ile karşılaştırılmasıdır (Büyüköztürk, 2015). Bu yönteme göre, her</w:t>
      </w:r>
      <w:r>
        <w:rPr>
          <w:color w:val="231F20"/>
          <w:spacing w:val="-6"/>
        </w:rPr>
        <w:t> </w:t>
      </w:r>
      <w:r>
        <w:rPr>
          <w:color w:val="231F20"/>
        </w:rPr>
        <w:t>madde</w:t>
      </w:r>
      <w:r>
        <w:rPr>
          <w:color w:val="231F20"/>
          <w:spacing w:val="-5"/>
        </w:rPr>
        <w:t> </w:t>
      </w:r>
      <w:r>
        <w:rPr>
          <w:color w:val="231F20"/>
        </w:rPr>
        <w:t>için</w:t>
      </w:r>
      <w:r>
        <w:rPr>
          <w:color w:val="231F20"/>
          <w:spacing w:val="-5"/>
        </w:rPr>
        <w:t> </w:t>
      </w:r>
      <w:r>
        <w:rPr>
          <w:color w:val="231F20"/>
        </w:rPr>
        <w:t>(toplam</w:t>
      </w:r>
      <w:r>
        <w:rPr>
          <w:color w:val="231F20"/>
          <w:spacing w:val="-6"/>
        </w:rPr>
        <w:t> </w:t>
      </w:r>
      <w:r>
        <w:rPr>
          <w:color w:val="231F20"/>
        </w:rPr>
        <w:t>puan</w:t>
      </w:r>
      <w:r>
        <w:rPr>
          <w:color w:val="231F20"/>
          <w:spacing w:val="-5"/>
        </w:rPr>
        <w:t> </w:t>
      </w:r>
      <w:r>
        <w:rPr>
          <w:color w:val="231F20"/>
        </w:rPr>
        <w:t>açısından)</w:t>
      </w:r>
      <w:r>
        <w:rPr>
          <w:color w:val="231F20"/>
          <w:spacing w:val="-5"/>
        </w:rPr>
        <w:t> </w:t>
      </w:r>
      <w:r>
        <w:rPr>
          <w:color w:val="231F20"/>
        </w:rPr>
        <w:t>alt</w:t>
      </w:r>
      <w:r>
        <w:rPr>
          <w:color w:val="231F20"/>
          <w:spacing w:val="-5"/>
        </w:rPr>
        <w:t> </w:t>
      </w:r>
      <w:r>
        <w:rPr>
          <w:color w:val="231F20"/>
        </w:rPr>
        <w:t>ve</w:t>
      </w:r>
      <w:r>
        <w:rPr>
          <w:color w:val="231F20"/>
          <w:spacing w:val="-5"/>
        </w:rPr>
        <w:t> </w:t>
      </w:r>
      <w:r>
        <w:rPr>
          <w:color w:val="231F20"/>
        </w:rPr>
        <w:t>üst</w:t>
      </w:r>
      <w:r>
        <w:rPr>
          <w:color w:val="231F20"/>
          <w:spacing w:val="-5"/>
        </w:rPr>
        <w:t> </w:t>
      </w:r>
      <w:r>
        <w:rPr>
          <w:color w:val="231F20"/>
        </w:rPr>
        <w:t>grup</w:t>
      </w:r>
      <w:r>
        <w:rPr>
          <w:color w:val="231F20"/>
          <w:spacing w:val="-5"/>
        </w:rPr>
        <w:t> </w:t>
      </w:r>
      <w:r>
        <w:rPr>
          <w:color w:val="231F20"/>
        </w:rPr>
        <w:t>ortalamaları</w:t>
      </w:r>
      <w:r>
        <w:rPr>
          <w:color w:val="231F20"/>
          <w:spacing w:val="-5"/>
        </w:rPr>
        <w:t> </w:t>
      </w:r>
      <w:r>
        <w:rPr>
          <w:color w:val="231F20"/>
        </w:rPr>
        <w:t>arasındaki</w:t>
      </w:r>
      <w:r>
        <w:rPr>
          <w:color w:val="231F20"/>
          <w:spacing w:val="-5"/>
        </w:rPr>
        <w:t> </w:t>
      </w:r>
      <w:r>
        <w:rPr>
          <w:color w:val="231F20"/>
        </w:rPr>
        <w:t>fark</w:t>
      </w:r>
      <w:r>
        <w:rPr>
          <w:color w:val="231F20"/>
          <w:spacing w:val="-5"/>
        </w:rPr>
        <w:t> </w:t>
      </w:r>
      <w:r>
        <w:rPr>
          <w:color w:val="231F20"/>
        </w:rPr>
        <w:t>anlamlı</w:t>
      </w:r>
      <w:r>
        <w:rPr>
          <w:color w:val="231F20"/>
          <w:spacing w:val="-6"/>
        </w:rPr>
        <w:t> </w:t>
      </w:r>
      <w:r>
        <w:rPr>
          <w:color w:val="231F20"/>
        </w:rPr>
        <w:t>ve</w:t>
      </w:r>
      <w:r>
        <w:rPr>
          <w:color w:val="231F20"/>
          <w:spacing w:val="-5"/>
        </w:rPr>
        <w:t> </w:t>
      </w:r>
      <w:r>
        <w:rPr>
          <w:color w:val="231F20"/>
          <w:spacing w:val="-12"/>
        </w:rPr>
        <w:t>t </w:t>
      </w:r>
      <w:r>
        <w:rPr>
          <w:color w:val="231F20"/>
        </w:rPr>
        <w:t>değerleri</w:t>
      </w:r>
      <w:r>
        <w:rPr>
          <w:color w:val="231F20"/>
          <w:spacing w:val="-11"/>
        </w:rPr>
        <w:t> </w:t>
      </w:r>
      <w:r>
        <w:rPr>
          <w:color w:val="231F20"/>
        </w:rPr>
        <w:t>pozitif</w:t>
      </w:r>
      <w:r>
        <w:rPr>
          <w:color w:val="231F20"/>
          <w:spacing w:val="-11"/>
        </w:rPr>
        <w:t> </w:t>
      </w:r>
      <w:r>
        <w:rPr>
          <w:color w:val="231F20"/>
        </w:rPr>
        <w:t>olmalıdır</w:t>
      </w:r>
      <w:r>
        <w:rPr>
          <w:color w:val="231F20"/>
          <w:spacing w:val="-10"/>
        </w:rPr>
        <w:t> </w:t>
      </w:r>
      <w:r>
        <w:rPr>
          <w:color w:val="231F20"/>
        </w:rPr>
        <w:t>(Erkuş,</w:t>
      </w:r>
      <w:r>
        <w:rPr>
          <w:color w:val="231F20"/>
          <w:spacing w:val="-11"/>
        </w:rPr>
        <w:t> </w:t>
      </w:r>
      <w:r>
        <w:rPr>
          <w:color w:val="231F20"/>
        </w:rPr>
        <w:t>2016).</w:t>
      </w:r>
      <w:r>
        <w:rPr>
          <w:color w:val="231F20"/>
          <w:spacing w:val="-11"/>
        </w:rPr>
        <w:t> </w:t>
      </w:r>
      <w:r>
        <w:rPr>
          <w:color w:val="231F20"/>
        </w:rPr>
        <w:t>Ölçekte</w:t>
      </w:r>
      <w:r>
        <w:rPr>
          <w:color w:val="231F20"/>
          <w:spacing w:val="-10"/>
        </w:rPr>
        <w:t> </w:t>
      </w:r>
      <w:r>
        <w:rPr>
          <w:color w:val="231F20"/>
        </w:rPr>
        <w:t>yer</w:t>
      </w:r>
      <w:r>
        <w:rPr>
          <w:color w:val="231F20"/>
          <w:spacing w:val="-11"/>
        </w:rPr>
        <w:t> </w:t>
      </w:r>
      <w:r>
        <w:rPr>
          <w:color w:val="231F20"/>
        </w:rPr>
        <w:t>alan</w:t>
      </w:r>
      <w:r>
        <w:rPr>
          <w:color w:val="231F20"/>
          <w:spacing w:val="-10"/>
        </w:rPr>
        <w:t> </w:t>
      </w:r>
      <w:r>
        <w:rPr>
          <w:color w:val="231F20"/>
        </w:rPr>
        <w:t>maddelerin</w:t>
      </w:r>
      <w:r>
        <w:rPr>
          <w:color w:val="231F20"/>
          <w:spacing w:val="-11"/>
        </w:rPr>
        <w:t> </w:t>
      </w:r>
      <w:r>
        <w:rPr>
          <w:color w:val="231F20"/>
        </w:rPr>
        <w:t>ayırt</w:t>
      </w:r>
      <w:r>
        <w:rPr>
          <w:color w:val="231F20"/>
          <w:spacing w:val="-11"/>
        </w:rPr>
        <w:t> </w:t>
      </w:r>
      <w:r>
        <w:rPr>
          <w:color w:val="231F20"/>
        </w:rPr>
        <w:t>ediciliklerinin</w:t>
      </w:r>
      <w:r>
        <w:rPr>
          <w:color w:val="231F20"/>
          <w:spacing w:val="-10"/>
        </w:rPr>
        <w:t> </w:t>
      </w:r>
      <w:r>
        <w:rPr>
          <w:color w:val="231F20"/>
        </w:rPr>
        <w:t>belir- lenmesi amacıyla ölçekten elde edilen ham puanlar yüksekten düşüğe doğru sıralanmış (sort), grubun en üst ve en alt 27%’lik dilimi belirlenmiş, her maddenin üst ve alt 27% gruplardaki puan ortalamaları bağımsız grup t-testi uygulanarak karşılaştırılmıştır. Karşılaştırma sonucun- da alt ve üst grup madde puanlarının ortalamaları arasında istatistiksel olarak 0,001 düzeyinde anlamlı farklılık olduğu tespit edilmiştir. Bu bulgulardan hareketle, ölçeğin iç tutarlılığının yüksek</w:t>
      </w:r>
      <w:r>
        <w:rPr>
          <w:color w:val="231F20"/>
          <w:spacing w:val="-11"/>
        </w:rPr>
        <w:t> </w:t>
      </w:r>
      <w:r>
        <w:rPr>
          <w:color w:val="231F20"/>
        </w:rPr>
        <w:t>ve</w:t>
      </w:r>
      <w:r>
        <w:rPr>
          <w:color w:val="231F20"/>
          <w:spacing w:val="-11"/>
        </w:rPr>
        <w:t> </w:t>
      </w:r>
      <w:r>
        <w:rPr>
          <w:color w:val="231F20"/>
        </w:rPr>
        <w:t>istenen</w:t>
      </w:r>
      <w:r>
        <w:rPr>
          <w:color w:val="231F20"/>
          <w:spacing w:val="-10"/>
        </w:rPr>
        <w:t> </w:t>
      </w:r>
      <w:r>
        <w:rPr>
          <w:color w:val="231F20"/>
        </w:rPr>
        <w:t>niteliği</w:t>
      </w:r>
      <w:r>
        <w:rPr>
          <w:color w:val="231F20"/>
          <w:spacing w:val="-11"/>
        </w:rPr>
        <w:t> </w:t>
      </w:r>
      <w:r>
        <w:rPr>
          <w:color w:val="231F20"/>
        </w:rPr>
        <w:t>ölçmesi</w:t>
      </w:r>
      <w:r>
        <w:rPr>
          <w:color w:val="231F20"/>
          <w:spacing w:val="-11"/>
        </w:rPr>
        <w:t> </w:t>
      </w:r>
      <w:r>
        <w:rPr>
          <w:color w:val="231F20"/>
        </w:rPr>
        <w:t>bağlamında</w:t>
      </w:r>
      <w:r>
        <w:rPr>
          <w:color w:val="231F20"/>
          <w:spacing w:val="-10"/>
        </w:rPr>
        <w:t> </w:t>
      </w:r>
      <w:r>
        <w:rPr>
          <w:color w:val="231F20"/>
        </w:rPr>
        <w:t>ayırt</w:t>
      </w:r>
      <w:r>
        <w:rPr>
          <w:color w:val="231F20"/>
          <w:spacing w:val="-11"/>
        </w:rPr>
        <w:t> </w:t>
      </w:r>
      <w:r>
        <w:rPr>
          <w:color w:val="231F20"/>
        </w:rPr>
        <w:t>edici</w:t>
      </w:r>
      <w:r>
        <w:rPr>
          <w:color w:val="231F20"/>
          <w:spacing w:val="-10"/>
        </w:rPr>
        <w:t> </w:t>
      </w:r>
      <w:r>
        <w:rPr>
          <w:color w:val="231F20"/>
        </w:rPr>
        <w:t>olduğu</w:t>
      </w:r>
      <w:r>
        <w:rPr>
          <w:color w:val="231F20"/>
          <w:spacing w:val="-11"/>
        </w:rPr>
        <w:t> </w:t>
      </w:r>
      <w:r>
        <w:rPr>
          <w:color w:val="231F20"/>
        </w:rPr>
        <w:t>görülmüştür.</w:t>
      </w:r>
      <w:r>
        <w:rPr>
          <w:color w:val="231F20"/>
          <w:spacing w:val="-11"/>
        </w:rPr>
        <w:t> </w:t>
      </w:r>
      <w:r>
        <w:rPr>
          <w:color w:val="231F20"/>
        </w:rPr>
        <w:t>Ölçeğin</w:t>
      </w:r>
      <w:r>
        <w:rPr>
          <w:color w:val="231F20"/>
          <w:spacing w:val="-10"/>
        </w:rPr>
        <w:t> </w:t>
      </w:r>
      <w:r>
        <w:rPr>
          <w:color w:val="231F20"/>
        </w:rPr>
        <w:t>geneline ilişkin Cronbach Alfa değeri 0,978 olarak</w:t>
      </w:r>
      <w:r>
        <w:rPr>
          <w:color w:val="231F20"/>
          <w:spacing w:val="-2"/>
        </w:rPr>
        <w:t> </w:t>
      </w:r>
      <w:r>
        <w:rPr>
          <w:color w:val="231F20"/>
        </w:rPr>
        <w:t>hesaplanmıştır.</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Heading1"/>
        <w:numPr>
          <w:ilvl w:val="2"/>
          <w:numId w:val="1"/>
        </w:numPr>
        <w:tabs>
          <w:tab w:pos="753" w:val="left" w:leader="none"/>
        </w:tabs>
        <w:spacing w:line="240" w:lineRule="auto" w:before="1" w:after="0"/>
        <w:ind w:left="752" w:right="0" w:hanging="501"/>
        <w:jc w:val="left"/>
      </w:pPr>
      <w:r>
        <w:rPr>
          <w:color w:val="034694"/>
        </w:rPr>
        <w:t>Çevik Liderlik Becerisi Algısı Ölçeğinin Yapı Geçerliğinin</w:t>
      </w:r>
      <w:r>
        <w:rPr>
          <w:color w:val="034694"/>
          <w:spacing w:val="-8"/>
        </w:rPr>
        <w:t> </w:t>
      </w:r>
      <w:r>
        <w:rPr>
          <w:color w:val="034694"/>
        </w:rPr>
        <w:t>İncelemesi</w:t>
      </w:r>
    </w:p>
    <w:p>
      <w:pPr>
        <w:pStyle w:val="BodyText"/>
        <w:spacing w:line="247" w:lineRule="auto" w:before="119"/>
        <w:ind w:left="252" w:right="249" w:firstLine="567"/>
        <w:jc w:val="both"/>
      </w:pPr>
      <w:r>
        <w:rPr>
          <w:color w:val="231F20"/>
        </w:rPr>
        <w:t>AFA uygulanmadan önce veri setinde tek değişkenli uç değerlerin olup olmadığı Box Plot (Kutu Grafiği) grafiği incelenerek kontrol edilmiştir. AFA örneklemine ilişkin kutu gra- fiğine bakıldığında, 43 uç değerin olduğu gözlemlenmiş ve daha doğru bir ölçüm elde etmek amacıyla bu değerler veri setinden çıkartılmıştır. Uç değerler çıkartıldıktan sonra</w:t>
      </w:r>
      <w:r>
        <w:rPr>
          <w:color w:val="231F20"/>
          <w:spacing w:val="-35"/>
        </w:rPr>
        <w:t> </w:t>
      </w:r>
      <w:r>
        <w:rPr>
          <w:color w:val="231F20"/>
        </w:rPr>
        <w:t>değerlendiri- lecek</w:t>
      </w:r>
      <w:r>
        <w:rPr>
          <w:color w:val="231F20"/>
          <w:spacing w:val="-5"/>
        </w:rPr>
        <w:t> </w:t>
      </w:r>
      <w:r>
        <w:rPr>
          <w:color w:val="231F20"/>
        </w:rPr>
        <w:t>1393</w:t>
      </w:r>
      <w:r>
        <w:rPr>
          <w:color w:val="231F20"/>
          <w:spacing w:val="-5"/>
        </w:rPr>
        <w:t> </w:t>
      </w:r>
      <w:r>
        <w:rPr>
          <w:color w:val="231F20"/>
        </w:rPr>
        <w:t>veride</w:t>
      </w:r>
      <w:r>
        <w:rPr>
          <w:color w:val="231F20"/>
          <w:spacing w:val="-4"/>
        </w:rPr>
        <w:t> </w:t>
      </w:r>
      <w:r>
        <w:rPr>
          <w:color w:val="231F20"/>
        </w:rPr>
        <w:t>ise</w:t>
      </w:r>
      <w:r>
        <w:rPr>
          <w:color w:val="231F20"/>
          <w:spacing w:val="-5"/>
        </w:rPr>
        <w:t> </w:t>
      </w:r>
      <w:r>
        <w:rPr>
          <w:color w:val="231F20"/>
        </w:rPr>
        <w:t>herhangi</w:t>
      </w:r>
      <w:r>
        <w:rPr>
          <w:color w:val="231F20"/>
          <w:spacing w:val="-4"/>
        </w:rPr>
        <w:t> </w:t>
      </w:r>
      <w:r>
        <w:rPr>
          <w:color w:val="231F20"/>
        </w:rPr>
        <w:t>bir</w:t>
      </w:r>
      <w:r>
        <w:rPr>
          <w:color w:val="231F20"/>
          <w:spacing w:val="-5"/>
        </w:rPr>
        <w:t> </w:t>
      </w:r>
      <w:r>
        <w:rPr>
          <w:color w:val="231F20"/>
        </w:rPr>
        <w:t>aşırı</w:t>
      </w:r>
      <w:r>
        <w:rPr>
          <w:color w:val="231F20"/>
          <w:spacing w:val="-5"/>
        </w:rPr>
        <w:t> </w:t>
      </w:r>
      <w:r>
        <w:rPr>
          <w:color w:val="231F20"/>
        </w:rPr>
        <w:t>uç/uç</w:t>
      </w:r>
      <w:r>
        <w:rPr>
          <w:color w:val="231F20"/>
          <w:spacing w:val="-4"/>
        </w:rPr>
        <w:t> </w:t>
      </w:r>
      <w:r>
        <w:rPr>
          <w:color w:val="231F20"/>
        </w:rPr>
        <w:t>değer</w:t>
      </w:r>
      <w:r>
        <w:rPr>
          <w:color w:val="231F20"/>
          <w:spacing w:val="-5"/>
        </w:rPr>
        <w:t> </w:t>
      </w:r>
      <w:r>
        <w:rPr>
          <w:color w:val="231F20"/>
        </w:rPr>
        <w:t>gözlenmemiş</w:t>
      </w:r>
      <w:r>
        <w:rPr>
          <w:color w:val="231F20"/>
          <w:spacing w:val="-5"/>
        </w:rPr>
        <w:t> </w:t>
      </w:r>
      <w:r>
        <w:rPr>
          <w:color w:val="231F20"/>
        </w:rPr>
        <w:t>ve</w:t>
      </w:r>
      <w:r>
        <w:rPr>
          <w:color w:val="231F20"/>
          <w:spacing w:val="-5"/>
        </w:rPr>
        <w:t> </w:t>
      </w:r>
      <w:r>
        <w:rPr>
          <w:color w:val="231F20"/>
        </w:rPr>
        <w:t>1393</w:t>
      </w:r>
      <w:r>
        <w:rPr>
          <w:color w:val="231F20"/>
          <w:spacing w:val="-4"/>
        </w:rPr>
        <w:t> </w:t>
      </w:r>
      <w:r>
        <w:rPr>
          <w:color w:val="231F20"/>
        </w:rPr>
        <w:t>veri</w:t>
      </w:r>
      <w:r>
        <w:rPr>
          <w:color w:val="231F20"/>
          <w:spacing w:val="-5"/>
        </w:rPr>
        <w:t> </w:t>
      </w:r>
      <w:r>
        <w:rPr>
          <w:color w:val="231F20"/>
        </w:rPr>
        <w:t>ile</w:t>
      </w:r>
      <w:r>
        <w:rPr>
          <w:color w:val="231F20"/>
          <w:spacing w:val="-5"/>
        </w:rPr>
        <w:t> </w:t>
      </w:r>
      <w:r>
        <w:rPr>
          <w:color w:val="231F20"/>
        </w:rPr>
        <w:t>faktör</w:t>
      </w:r>
      <w:r>
        <w:rPr>
          <w:color w:val="231F20"/>
          <w:spacing w:val="-4"/>
        </w:rPr>
        <w:t> </w:t>
      </w:r>
      <w:r>
        <w:rPr>
          <w:color w:val="231F20"/>
          <w:spacing w:val="-3"/>
        </w:rPr>
        <w:t>analizi </w:t>
      </w:r>
      <w:r>
        <w:rPr>
          <w:color w:val="231F20"/>
        </w:rPr>
        <w:t>uygulaması yapılmasına karar verilmiştir.</w:t>
      </w:r>
    </w:p>
    <w:p>
      <w:pPr>
        <w:pStyle w:val="BodyText"/>
        <w:spacing w:line="247" w:lineRule="auto" w:before="108"/>
        <w:ind w:left="252" w:right="250" w:firstLine="567"/>
        <w:jc w:val="both"/>
      </w:pPr>
      <w:r>
        <w:rPr>
          <w:color w:val="231F20"/>
        </w:rPr>
        <w:t>Verilerin normal dağılım gösterip göstermediği istatistiksel testler ve grafiksel</w:t>
      </w:r>
      <w:r>
        <w:rPr>
          <w:color w:val="231F20"/>
          <w:spacing w:val="-19"/>
        </w:rPr>
        <w:t> </w:t>
      </w:r>
      <w:r>
        <w:rPr>
          <w:color w:val="231F20"/>
        </w:rPr>
        <w:t>yöntem- ler ile değerlendirilmiştir. İstatistiksel testler olarak Çarpıklık ve Basıklık değerleri; grafiksel olarak Q-Q Plot grafiği dikkate alınmıştır. AFA örneklemindeki (n=1393) ölçek verilerinin Skewnwess (çarpıklık) değerinin -,592, Kurtosis (basıklık) değerinin -,114 olduğu görülmek- tedir. Bu değerler verinin normal dağılıma sahip olduğunu göstermektedir. Hair vd. (2013) “Skewnwess ve Kurtosis değerlerinin ±1 aralığında olmasının verilerin normal dağılıma sahip olduğu anlamına geldiğini belirtmiştir. Q-Q Plot grafiği incelendiğinde, verilerin normal dağı- lımı gösteren dikey doğrusal çizgiye yakın olduğu gözlenmiştir.</w:t>
      </w:r>
    </w:p>
    <w:p>
      <w:pPr>
        <w:pStyle w:val="BodyText"/>
        <w:spacing w:line="247" w:lineRule="auto" w:before="107"/>
        <w:ind w:left="252" w:right="248" w:firstLine="567"/>
        <w:jc w:val="both"/>
      </w:pPr>
      <w:r>
        <w:rPr>
          <w:color w:val="231F20"/>
        </w:rPr>
        <w:t>Bir ölçek geliştirme sürecinde AFA, açıklayıcı bir ilk adım olarak kullanılırken, Doğ- rulayıcı Faktör Analizi (DFA) ise AFA’da tanımlanan yapının yeni bir örnekte çalışıp çalış- madığını kontrol etmede ikinci adım olarak kullanılabilir. AFA ve DFA ortak faktör model tabanlıdır. Ortak faktör analizinin (common factor analysis) temel amacı gizli (latent) olarak adlandırılan değişkenleri ortaya koymak ve orijinal ifadeler altında yatan yapıyı çıkartmaktır (Büyüköztürk, 2002).</w:t>
      </w:r>
    </w:p>
    <w:p>
      <w:pPr>
        <w:pStyle w:val="BodyText"/>
        <w:spacing w:line="247" w:lineRule="auto" w:before="108"/>
        <w:ind w:left="252" w:right="248" w:firstLine="567"/>
        <w:jc w:val="both"/>
      </w:pPr>
      <w:r>
        <w:rPr>
          <w:color w:val="231F20"/>
        </w:rPr>
        <w:t>Verilerin</w:t>
      </w:r>
      <w:r>
        <w:rPr>
          <w:color w:val="231F20"/>
          <w:spacing w:val="-11"/>
        </w:rPr>
        <w:t> </w:t>
      </w:r>
      <w:r>
        <w:rPr>
          <w:color w:val="231F20"/>
        </w:rPr>
        <w:t>faktör</w:t>
      </w:r>
      <w:r>
        <w:rPr>
          <w:color w:val="231F20"/>
          <w:spacing w:val="-11"/>
        </w:rPr>
        <w:t> </w:t>
      </w:r>
      <w:r>
        <w:rPr>
          <w:color w:val="231F20"/>
        </w:rPr>
        <w:t>analizine</w:t>
      </w:r>
      <w:r>
        <w:rPr>
          <w:color w:val="231F20"/>
          <w:spacing w:val="-11"/>
        </w:rPr>
        <w:t> </w:t>
      </w:r>
      <w:r>
        <w:rPr>
          <w:color w:val="231F20"/>
        </w:rPr>
        <w:t>uygunluğu</w:t>
      </w:r>
      <w:r>
        <w:rPr>
          <w:color w:val="231F20"/>
          <w:spacing w:val="-11"/>
        </w:rPr>
        <w:t> </w:t>
      </w:r>
      <w:r>
        <w:rPr>
          <w:color w:val="231F20"/>
        </w:rPr>
        <w:t>ilk</w:t>
      </w:r>
      <w:r>
        <w:rPr>
          <w:color w:val="231F20"/>
          <w:spacing w:val="-11"/>
        </w:rPr>
        <w:t> </w:t>
      </w:r>
      <w:r>
        <w:rPr>
          <w:color w:val="231F20"/>
        </w:rPr>
        <w:t>aşamada</w:t>
      </w:r>
      <w:r>
        <w:rPr>
          <w:color w:val="231F20"/>
          <w:spacing w:val="-11"/>
        </w:rPr>
        <w:t> </w:t>
      </w:r>
      <w:r>
        <w:rPr>
          <w:color w:val="231F20"/>
        </w:rPr>
        <w:t>ölçek</w:t>
      </w:r>
      <w:r>
        <w:rPr>
          <w:color w:val="231F20"/>
          <w:spacing w:val="-11"/>
        </w:rPr>
        <w:t> </w:t>
      </w:r>
      <w:r>
        <w:rPr>
          <w:color w:val="231F20"/>
        </w:rPr>
        <w:t>maddeleri</w:t>
      </w:r>
      <w:r>
        <w:rPr>
          <w:color w:val="231F20"/>
          <w:spacing w:val="-11"/>
        </w:rPr>
        <w:t> </w:t>
      </w:r>
      <w:r>
        <w:rPr>
          <w:color w:val="231F20"/>
        </w:rPr>
        <w:t>arasındaki</w:t>
      </w:r>
      <w:r>
        <w:rPr>
          <w:color w:val="231F20"/>
          <w:spacing w:val="-11"/>
        </w:rPr>
        <w:t> </w:t>
      </w:r>
      <w:r>
        <w:rPr>
          <w:color w:val="231F20"/>
        </w:rPr>
        <w:t>korelasyon matrisi</w:t>
      </w:r>
      <w:r>
        <w:rPr>
          <w:color w:val="231F20"/>
          <w:spacing w:val="-14"/>
        </w:rPr>
        <w:t> </w:t>
      </w:r>
      <w:r>
        <w:rPr>
          <w:color w:val="231F20"/>
        </w:rPr>
        <w:t>ve</w:t>
      </w:r>
      <w:r>
        <w:rPr>
          <w:color w:val="231F20"/>
          <w:spacing w:val="-13"/>
        </w:rPr>
        <w:t> </w:t>
      </w:r>
      <w:r>
        <w:rPr>
          <w:color w:val="231F20"/>
        </w:rPr>
        <w:t>ters</w:t>
      </w:r>
      <w:r>
        <w:rPr>
          <w:color w:val="231F20"/>
          <w:spacing w:val="-13"/>
        </w:rPr>
        <w:t> </w:t>
      </w:r>
      <w:r>
        <w:rPr>
          <w:color w:val="231F20"/>
        </w:rPr>
        <w:t>imaj</w:t>
      </w:r>
      <w:r>
        <w:rPr>
          <w:color w:val="231F20"/>
          <w:spacing w:val="-13"/>
        </w:rPr>
        <w:t> </w:t>
      </w:r>
      <w:r>
        <w:rPr>
          <w:color w:val="231F20"/>
        </w:rPr>
        <w:t>(anti-image)</w:t>
      </w:r>
      <w:r>
        <w:rPr>
          <w:color w:val="231F20"/>
          <w:spacing w:val="-13"/>
        </w:rPr>
        <w:t> </w:t>
      </w:r>
      <w:r>
        <w:rPr>
          <w:color w:val="231F20"/>
        </w:rPr>
        <w:t>korelasyon</w:t>
      </w:r>
      <w:r>
        <w:rPr>
          <w:color w:val="231F20"/>
          <w:spacing w:val="-13"/>
        </w:rPr>
        <w:t> </w:t>
      </w:r>
      <w:r>
        <w:rPr>
          <w:color w:val="231F20"/>
        </w:rPr>
        <w:t>matrisi</w:t>
      </w:r>
      <w:r>
        <w:rPr>
          <w:color w:val="231F20"/>
          <w:spacing w:val="-13"/>
        </w:rPr>
        <w:t> </w:t>
      </w:r>
      <w:r>
        <w:rPr>
          <w:color w:val="231F20"/>
        </w:rPr>
        <w:t>incelenerek</w:t>
      </w:r>
      <w:r>
        <w:rPr>
          <w:color w:val="231F20"/>
          <w:spacing w:val="-13"/>
        </w:rPr>
        <w:t> </w:t>
      </w:r>
      <w:r>
        <w:rPr>
          <w:color w:val="231F20"/>
        </w:rPr>
        <w:t>değerlendirilmiştir.</w:t>
      </w:r>
      <w:r>
        <w:rPr>
          <w:color w:val="231F20"/>
          <w:spacing w:val="-13"/>
        </w:rPr>
        <w:t> </w:t>
      </w:r>
      <w:r>
        <w:rPr>
          <w:color w:val="231F20"/>
        </w:rPr>
        <w:t>Korelasyon matrisleri</w:t>
      </w:r>
      <w:r>
        <w:rPr>
          <w:color w:val="231F20"/>
          <w:spacing w:val="-8"/>
        </w:rPr>
        <w:t> </w:t>
      </w:r>
      <w:r>
        <w:rPr>
          <w:color w:val="231F20"/>
        </w:rPr>
        <w:t>incelendiğinde,</w:t>
      </w:r>
      <w:r>
        <w:rPr>
          <w:color w:val="231F20"/>
          <w:spacing w:val="-8"/>
        </w:rPr>
        <w:t> </w:t>
      </w:r>
      <w:r>
        <w:rPr>
          <w:color w:val="231F20"/>
        </w:rPr>
        <w:t>maddeler</w:t>
      </w:r>
      <w:r>
        <w:rPr>
          <w:color w:val="231F20"/>
          <w:spacing w:val="-8"/>
        </w:rPr>
        <w:t> </w:t>
      </w:r>
      <w:r>
        <w:rPr>
          <w:color w:val="231F20"/>
        </w:rPr>
        <w:t>arasındaki</w:t>
      </w:r>
      <w:r>
        <w:rPr>
          <w:color w:val="231F20"/>
          <w:spacing w:val="-8"/>
        </w:rPr>
        <w:t> </w:t>
      </w:r>
      <w:r>
        <w:rPr>
          <w:color w:val="231F20"/>
        </w:rPr>
        <w:t>korelasyon</w:t>
      </w:r>
      <w:r>
        <w:rPr>
          <w:color w:val="231F20"/>
          <w:spacing w:val="-7"/>
        </w:rPr>
        <w:t> </w:t>
      </w:r>
      <w:r>
        <w:rPr>
          <w:color w:val="231F20"/>
        </w:rPr>
        <w:t>matrisindeki</w:t>
      </w:r>
      <w:r>
        <w:rPr>
          <w:color w:val="231F20"/>
          <w:spacing w:val="-8"/>
        </w:rPr>
        <w:t> </w:t>
      </w:r>
      <w:r>
        <w:rPr>
          <w:color w:val="231F20"/>
        </w:rPr>
        <w:t>katsayılarının</w:t>
      </w:r>
      <w:r>
        <w:rPr>
          <w:color w:val="231F20"/>
          <w:spacing w:val="-9"/>
        </w:rPr>
        <w:t> </w:t>
      </w:r>
      <w:r>
        <w:rPr>
          <w:color w:val="231F20"/>
        </w:rPr>
        <w:t>0,30’dan büyük</w:t>
      </w:r>
      <w:r>
        <w:rPr>
          <w:color w:val="231F20"/>
          <w:spacing w:val="-5"/>
        </w:rPr>
        <w:t> </w:t>
      </w:r>
      <w:r>
        <w:rPr>
          <w:color w:val="231F20"/>
        </w:rPr>
        <w:t>olduğu</w:t>
      </w:r>
      <w:r>
        <w:rPr>
          <w:color w:val="231F20"/>
          <w:spacing w:val="-5"/>
        </w:rPr>
        <w:t> </w:t>
      </w:r>
      <w:r>
        <w:rPr>
          <w:color w:val="231F20"/>
        </w:rPr>
        <w:t>(en</w:t>
      </w:r>
      <w:r>
        <w:rPr>
          <w:color w:val="231F20"/>
          <w:spacing w:val="-5"/>
        </w:rPr>
        <w:t> </w:t>
      </w:r>
      <w:r>
        <w:rPr>
          <w:color w:val="231F20"/>
        </w:rPr>
        <w:t>düşük</w:t>
      </w:r>
      <w:r>
        <w:rPr>
          <w:color w:val="231F20"/>
          <w:spacing w:val="-5"/>
        </w:rPr>
        <w:t> </w:t>
      </w:r>
      <w:r>
        <w:rPr>
          <w:color w:val="231F20"/>
        </w:rPr>
        <w:t>0,38-en</w:t>
      </w:r>
      <w:r>
        <w:rPr>
          <w:color w:val="231F20"/>
          <w:spacing w:val="-5"/>
        </w:rPr>
        <w:t> </w:t>
      </w:r>
      <w:r>
        <w:rPr>
          <w:color w:val="231F20"/>
        </w:rPr>
        <w:t>yüksek</w:t>
      </w:r>
      <w:r>
        <w:rPr>
          <w:color w:val="231F20"/>
          <w:spacing w:val="-5"/>
        </w:rPr>
        <w:t> </w:t>
      </w:r>
      <w:r>
        <w:rPr>
          <w:color w:val="231F20"/>
        </w:rPr>
        <w:t>0,64)</w:t>
      </w:r>
      <w:r>
        <w:rPr>
          <w:color w:val="231F20"/>
          <w:spacing w:val="-4"/>
        </w:rPr>
        <w:t> </w:t>
      </w:r>
      <w:r>
        <w:rPr>
          <w:color w:val="231F20"/>
        </w:rPr>
        <w:t>görülmüştür.</w:t>
      </w:r>
      <w:r>
        <w:rPr>
          <w:color w:val="231F20"/>
          <w:spacing w:val="-5"/>
        </w:rPr>
        <w:t> </w:t>
      </w:r>
      <w:r>
        <w:rPr>
          <w:color w:val="231F20"/>
        </w:rPr>
        <w:t>Anti-image</w:t>
      </w:r>
      <w:r>
        <w:rPr>
          <w:color w:val="231F20"/>
          <w:spacing w:val="-5"/>
        </w:rPr>
        <w:t> </w:t>
      </w:r>
      <w:r>
        <w:rPr>
          <w:color w:val="231F20"/>
        </w:rPr>
        <w:t>Correlation</w:t>
      </w:r>
      <w:r>
        <w:rPr>
          <w:color w:val="231F20"/>
          <w:spacing w:val="-5"/>
        </w:rPr>
        <w:t> </w:t>
      </w:r>
      <w:r>
        <w:rPr>
          <w:color w:val="231F20"/>
        </w:rPr>
        <w:t>matrisinde diagonalde</w:t>
      </w:r>
      <w:r>
        <w:rPr>
          <w:color w:val="231F20"/>
          <w:spacing w:val="-8"/>
        </w:rPr>
        <w:t> </w:t>
      </w:r>
      <w:r>
        <w:rPr>
          <w:color w:val="231F20"/>
        </w:rPr>
        <w:t>yer</w:t>
      </w:r>
      <w:r>
        <w:rPr>
          <w:color w:val="231F20"/>
          <w:spacing w:val="-7"/>
        </w:rPr>
        <w:t> </w:t>
      </w:r>
      <w:r>
        <w:rPr>
          <w:color w:val="231F20"/>
        </w:rPr>
        <w:t>alan</w:t>
      </w:r>
      <w:r>
        <w:rPr>
          <w:color w:val="231F20"/>
          <w:spacing w:val="-7"/>
        </w:rPr>
        <w:t> </w:t>
      </w:r>
      <w:r>
        <w:rPr>
          <w:color w:val="231F20"/>
        </w:rPr>
        <w:t>tüm</w:t>
      </w:r>
      <w:r>
        <w:rPr>
          <w:color w:val="231F20"/>
          <w:spacing w:val="-7"/>
        </w:rPr>
        <w:t> </w:t>
      </w:r>
      <w:r>
        <w:rPr>
          <w:color w:val="231F20"/>
        </w:rPr>
        <w:t>korelasyon</w:t>
      </w:r>
      <w:r>
        <w:rPr>
          <w:color w:val="231F20"/>
          <w:spacing w:val="-7"/>
        </w:rPr>
        <w:t> </w:t>
      </w:r>
      <w:r>
        <w:rPr>
          <w:color w:val="231F20"/>
        </w:rPr>
        <w:t>değerlerinin</w:t>
      </w:r>
      <w:r>
        <w:rPr>
          <w:color w:val="231F20"/>
          <w:spacing w:val="-7"/>
        </w:rPr>
        <w:t> </w:t>
      </w:r>
      <w:r>
        <w:rPr>
          <w:color w:val="231F20"/>
        </w:rPr>
        <w:t>sağ</w:t>
      </w:r>
      <w:r>
        <w:rPr>
          <w:color w:val="231F20"/>
          <w:spacing w:val="-7"/>
        </w:rPr>
        <w:t> </w:t>
      </w:r>
      <w:r>
        <w:rPr>
          <w:color w:val="231F20"/>
        </w:rPr>
        <w:t>üst</w:t>
      </w:r>
      <w:r>
        <w:rPr>
          <w:color w:val="231F20"/>
          <w:spacing w:val="-7"/>
        </w:rPr>
        <w:t> </w:t>
      </w:r>
      <w:r>
        <w:rPr>
          <w:color w:val="231F20"/>
        </w:rPr>
        <w:t>köşesinde</w:t>
      </w:r>
      <w:r>
        <w:rPr>
          <w:color w:val="231F20"/>
          <w:spacing w:val="-7"/>
        </w:rPr>
        <w:t> </w:t>
      </w:r>
      <w:r>
        <w:rPr>
          <w:color w:val="231F20"/>
        </w:rPr>
        <w:t>“a”</w:t>
      </w:r>
      <w:r>
        <w:rPr>
          <w:color w:val="231F20"/>
          <w:spacing w:val="-7"/>
        </w:rPr>
        <w:t> </w:t>
      </w:r>
      <w:r>
        <w:rPr>
          <w:color w:val="231F20"/>
        </w:rPr>
        <w:t>harfi</w:t>
      </w:r>
      <w:r>
        <w:rPr>
          <w:color w:val="231F20"/>
          <w:spacing w:val="-7"/>
        </w:rPr>
        <w:t> </w:t>
      </w:r>
      <w:r>
        <w:rPr>
          <w:color w:val="231F20"/>
        </w:rPr>
        <w:t>görünmektedir.</w:t>
      </w:r>
      <w:r>
        <w:rPr>
          <w:color w:val="231F20"/>
          <w:spacing w:val="-7"/>
        </w:rPr>
        <w:t> </w:t>
      </w:r>
      <w:r>
        <w:rPr>
          <w:color w:val="231F20"/>
        </w:rPr>
        <w:t>Bu değerler her bir maddenin MSA değerleridir. Bu değerin 0,50’den az olması durumunda ilgili madde analizden çıkarılmalıdır (Durmuş vd., 2016). Anti-image korelasyon matrisi incelendi- ğinde, köşegen üzerindeki tüm bu değerlerin 0,50’den büyük olduğu gözlenmiştir.</w:t>
      </w:r>
    </w:p>
    <w:p>
      <w:pPr>
        <w:pStyle w:val="BodyText"/>
        <w:spacing w:line="247" w:lineRule="auto" w:before="106"/>
        <w:ind w:left="252" w:right="249" w:firstLine="567"/>
        <w:jc w:val="both"/>
      </w:pPr>
      <w:r>
        <w:rPr>
          <w:color w:val="231F20"/>
        </w:rPr>
        <w:t>Bu kapsamda analize dahil edilen tüm madde verilerinin faktör analizine uygun </w:t>
      </w:r>
      <w:r>
        <w:rPr>
          <w:color w:val="231F20"/>
          <w:spacing w:val="-3"/>
        </w:rPr>
        <w:t>oldu- </w:t>
      </w:r>
      <w:r>
        <w:rPr>
          <w:color w:val="231F20"/>
        </w:rPr>
        <w:t>ğuna karar verilmiştir. Faktör analizine uygunluk konusundaki bir sonraki test KMO ve Bart- lett Testleridir. Örneklem büyüklüğünün faktörleştirmeye uygunluğunu tespit etmek amacıyla yapılan KMO testi sonucunda, KMO değerinin 0,977 olduğu belirlenmiştir. Bu bulgu örnek- lemden elde edilen verilerin faktör analizine uygun olduğunu göstermektedir. KMO testinin değeri 0 ile 1 aralığında olmalıdır. KMO değeri, herhangi bir değişkenin diğer değişkenler tarafından</w:t>
      </w:r>
      <w:r>
        <w:rPr>
          <w:color w:val="231F20"/>
          <w:spacing w:val="-9"/>
        </w:rPr>
        <w:t> </w:t>
      </w:r>
      <w:r>
        <w:rPr>
          <w:color w:val="231F20"/>
        </w:rPr>
        <w:t>hatasız</w:t>
      </w:r>
      <w:r>
        <w:rPr>
          <w:color w:val="231F20"/>
          <w:spacing w:val="-9"/>
        </w:rPr>
        <w:t> </w:t>
      </w:r>
      <w:r>
        <w:rPr>
          <w:color w:val="231F20"/>
        </w:rPr>
        <w:t>tahmin</w:t>
      </w:r>
      <w:r>
        <w:rPr>
          <w:color w:val="231F20"/>
          <w:spacing w:val="-9"/>
        </w:rPr>
        <w:t> </w:t>
      </w:r>
      <w:r>
        <w:rPr>
          <w:color w:val="231F20"/>
        </w:rPr>
        <w:t>edilmesi</w:t>
      </w:r>
      <w:r>
        <w:rPr>
          <w:color w:val="231F20"/>
          <w:spacing w:val="-9"/>
        </w:rPr>
        <w:t> </w:t>
      </w:r>
      <w:r>
        <w:rPr>
          <w:color w:val="231F20"/>
        </w:rPr>
        <w:t>halinde</w:t>
      </w:r>
      <w:r>
        <w:rPr>
          <w:color w:val="231F20"/>
          <w:spacing w:val="-9"/>
        </w:rPr>
        <w:t> </w:t>
      </w:r>
      <w:r>
        <w:rPr>
          <w:color w:val="231F20"/>
        </w:rPr>
        <w:t>1’e</w:t>
      </w:r>
      <w:r>
        <w:rPr>
          <w:color w:val="231F20"/>
          <w:spacing w:val="-9"/>
        </w:rPr>
        <w:t> </w:t>
      </w:r>
      <w:r>
        <w:rPr>
          <w:color w:val="231F20"/>
        </w:rPr>
        <w:t>eşit</w:t>
      </w:r>
      <w:r>
        <w:rPr>
          <w:color w:val="231F20"/>
          <w:spacing w:val="-9"/>
        </w:rPr>
        <w:t> </w:t>
      </w:r>
      <w:r>
        <w:rPr>
          <w:color w:val="231F20"/>
        </w:rPr>
        <w:t>olur.</w:t>
      </w:r>
      <w:r>
        <w:rPr>
          <w:color w:val="231F20"/>
          <w:spacing w:val="-8"/>
        </w:rPr>
        <w:t> </w:t>
      </w:r>
      <w:r>
        <w:rPr>
          <w:color w:val="231F20"/>
        </w:rPr>
        <w:t>0,8</w:t>
      </w:r>
      <w:r>
        <w:rPr>
          <w:color w:val="231F20"/>
          <w:spacing w:val="-9"/>
        </w:rPr>
        <w:t> </w:t>
      </w:r>
      <w:r>
        <w:rPr>
          <w:color w:val="231F20"/>
        </w:rPr>
        <w:t>üstü</w:t>
      </w:r>
      <w:r>
        <w:rPr>
          <w:color w:val="231F20"/>
          <w:spacing w:val="-9"/>
        </w:rPr>
        <w:t> </w:t>
      </w:r>
      <w:r>
        <w:rPr>
          <w:color w:val="231F20"/>
        </w:rPr>
        <w:t>değerler</w:t>
      </w:r>
      <w:r>
        <w:rPr>
          <w:color w:val="231F20"/>
          <w:spacing w:val="-9"/>
        </w:rPr>
        <w:t> </w:t>
      </w:r>
      <w:r>
        <w:rPr>
          <w:color w:val="231F20"/>
        </w:rPr>
        <w:t>mükemmel</w:t>
      </w:r>
      <w:r>
        <w:rPr>
          <w:color w:val="231F20"/>
          <w:spacing w:val="-9"/>
        </w:rPr>
        <w:t> </w:t>
      </w:r>
      <w:r>
        <w:rPr>
          <w:color w:val="231F20"/>
        </w:rPr>
        <w:t>sayılabilir (Büyüköztürk, 2002).</w:t>
      </w:r>
    </w:p>
    <w:p>
      <w:pPr>
        <w:pStyle w:val="BodyText"/>
        <w:spacing w:line="236" w:lineRule="exact" w:before="104"/>
        <w:ind w:left="252" w:right="248" w:firstLine="567"/>
        <w:jc w:val="both"/>
      </w:pPr>
      <w:r>
        <w:rPr>
          <w:color w:val="231F20"/>
        </w:rPr>
        <w:t>Bartlett küresellik testi sonuçları incelendiğinde, elde edilen ki-kare değerinin anlamlı olduğu</w:t>
      </w:r>
      <w:r>
        <w:rPr>
          <w:color w:val="231F20"/>
          <w:spacing w:val="-8"/>
        </w:rPr>
        <w:t> </w:t>
      </w:r>
      <w:r>
        <w:rPr>
          <w:color w:val="231F20"/>
        </w:rPr>
        <w:t>görülmüştür</w:t>
      </w:r>
      <w:r>
        <w:rPr>
          <w:color w:val="231F20"/>
          <w:spacing w:val="-7"/>
        </w:rPr>
        <w:t> </w:t>
      </w:r>
      <w:r>
        <w:rPr>
          <w:color w:val="231F20"/>
        </w:rPr>
        <w:t>(χ2</w:t>
      </w:r>
      <w:r>
        <w:rPr>
          <w:color w:val="231F20"/>
          <w:position w:val="-6"/>
          <w:sz w:val="11"/>
        </w:rPr>
        <w:t>(435)</w:t>
      </w:r>
      <w:r>
        <w:rPr>
          <w:color w:val="231F20"/>
        </w:rPr>
        <w:t>=31102,479;</w:t>
      </w:r>
      <w:r>
        <w:rPr>
          <w:color w:val="231F20"/>
          <w:spacing w:val="-7"/>
        </w:rPr>
        <w:t> </w:t>
      </w:r>
      <w:r>
        <w:rPr>
          <w:color w:val="231F20"/>
        </w:rPr>
        <w:t>p&lt;,01).</w:t>
      </w:r>
      <w:r>
        <w:rPr>
          <w:color w:val="231F20"/>
          <w:spacing w:val="-8"/>
        </w:rPr>
        <w:t> </w:t>
      </w:r>
      <w:r>
        <w:rPr>
          <w:color w:val="231F20"/>
        </w:rPr>
        <w:t>“Bartlett</w:t>
      </w:r>
      <w:r>
        <w:rPr>
          <w:color w:val="231F20"/>
          <w:spacing w:val="-7"/>
        </w:rPr>
        <w:t> </w:t>
      </w:r>
      <w:r>
        <w:rPr>
          <w:color w:val="231F20"/>
        </w:rPr>
        <w:t>testi</w:t>
      </w:r>
      <w:r>
        <w:rPr>
          <w:color w:val="231F20"/>
          <w:spacing w:val="-7"/>
        </w:rPr>
        <w:t> </w:t>
      </w:r>
      <w:r>
        <w:rPr>
          <w:color w:val="231F20"/>
        </w:rPr>
        <w:t>daha</w:t>
      </w:r>
      <w:r>
        <w:rPr>
          <w:color w:val="231F20"/>
          <w:spacing w:val="-8"/>
        </w:rPr>
        <w:t> </w:t>
      </w:r>
      <w:r>
        <w:rPr>
          <w:color w:val="231F20"/>
        </w:rPr>
        <w:t>önceki</w:t>
      </w:r>
      <w:r>
        <w:rPr>
          <w:color w:val="231F20"/>
          <w:spacing w:val="-7"/>
        </w:rPr>
        <w:t> </w:t>
      </w:r>
      <w:r>
        <w:rPr>
          <w:color w:val="231F20"/>
        </w:rPr>
        <w:t>korelasyon</w:t>
      </w:r>
      <w:r>
        <w:rPr>
          <w:color w:val="231F20"/>
          <w:spacing w:val="-7"/>
        </w:rPr>
        <w:t> </w:t>
      </w:r>
      <w:r>
        <w:rPr>
          <w:color w:val="231F20"/>
        </w:rPr>
        <w:t>matrisini genel</w:t>
      </w:r>
      <w:r>
        <w:rPr>
          <w:color w:val="231F20"/>
          <w:spacing w:val="-6"/>
        </w:rPr>
        <w:t> </w:t>
      </w:r>
      <w:r>
        <w:rPr>
          <w:color w:val="231F20"/>
        </w:rPr>
        <w:t>olarak</w:t>
      </w:r>
      <w:r>
        <w:rPr>
          <w:color w:val="231F20"/>
          <w:spacing w:val="-6"/>
        </w:rPr>
        <w:t> </w:t>
      </w:r>
      <w:r>
        <w:rPr>
          <w:color w:val="231F20"/>
        </w:rPr>
        <w:t>incelemekte</w:t>
      </w:r>
      <w:r>
        <w:rPr>
          <w:color w:val="231F20"/>
          <w:spacing w:val="-6"/>
        </w:rPr>
        <w:t> </w:t>
      </w:r>
      <w:r>
        <w:rPr>
          <w:color w:val="231F20"/>
        </w:rPr>
        <w:t>ve</w:t>
      </w:r>
      <w:r>
        <w:rPr>
          <w:color w:val="231F20"/>
          <w:spacing w:val="-6"/>
        </w:rPr>
        <w:t> </w:t>
      </w:r>
      <w:r>
        <w:rPr>
          <w:color w:val="231F20"/>
        </w:rPr>
        <w:t>bu</w:t>
      </w:r>
      <w:r>
        <w:rPr>
          <w:color w:val="231F20"/>
          <w:spacing w:val="-6"/>
        </w:rPr>
        <w:t> </w:t>
      </w:r>
      <w:r>
        <w:rPr>
          <w:color w:val="231F20"/>
        </w:rPr>
        <w:t>korelasyon</w:t>
      </w:r>
      <w:r>
        <w:rPr>
          <w:color w:val="231F20"/>
          <w:spacing w:val="-5"/>
        </w:rPr>
        <w:t> </w:t>
      </w:r>
      <w:r>
        <w:rPr>
          <w:color w:val="231F20"/>
        </w:rPr>
        <w:t>matrisinin</w:t>
      </w:r>
      <w:r>
        <w:rPr>
          <w:color w:val="231F20"/>
          <w:spacing w:val="-6"/>
        </w:rPr>
        <w:t> </w:t>
      </w:r>
      <w:r>
        <w:rPr>
          <w:color w:val="231F20"/>
        </w:rPr>
        <w:t>istatistiki</w:t>
      </w:r>
      <w:r>
        <w:rPr>
          <w:color w:val="231F20"/>
          <w:spacing w:val="-5"/>
        </w:rPr>
        <w:t> </w:t>
      </w:r>
      <w:r>
        <w:rPr>
          <w:color w:val="231F20"/>
        </w:rPr>
        <w:t>olarak</w:t>
      </w:r>
      <w:r>
        <w:rPr>
          <w:color w:val="231F20"/>
          <w:spacing w:val="-6"/>
        </w:rPr>
        <w:t> </w:t>
      </w:r>
      <w:r>
        <w:rPr>
          <w:color w:val="231F20"/>
        </w:rPr>
        <w:t>anlamlılığına</w:t>
      </w:r>
      <w:r>
        <w:rPr>
          <w:color w:val="231F20"/>
          <w:spacing w:val="-7"/>
        </w:rPr>
        <w:t> </w:t>
      </w:r>
      <w:r>
        <w:rPr>
          <w:color w:val="231F20"/>
          <w:spacing w:val="-3"/>
        </w:rPr>
        <w:t>bakmakta- </w:t>
      </w:r>
      <w:r>
        <w:rPr>
          <w:color w:val="231F20"/>
        </w:rPr>
        <w:t>dır. İstenilen durum bu testin anlamlı çıkmasıdır”. Ayrıca bu testin anlamlı olması ile</w:t>
      </w:r>
      <w:r>
        <w:rPr>
          <w:color w:val="231F20"/>
          <w:spacing w:val="-5"/>
        </w:rPr>
        <w:t> </w:t>
      </w:r>
      <w:r>
        <w:rPr>
          <w:color w:val="231F20"/>
        </w:rPr>
        <w:t>verilerin</w:t>
      </w:r>
    </w:p>
    <w:p>
      <w:pPr>
        <w:pStyle w:val="BodyText"/>
        <w:spacing w:before="6"/>
        <w:ind w:left="252"/>
        <w:jc w:val="both"/>
      </w:pPr>
      <w:r>
        <w:rPr>
          <w:color w:val="231F20"/>
        </w:rPr>
        <w:t>çok değişkenli normal dağılımdan geldiği kabul edilmektedir (Çokluk vd., 2016).</w:t>
      </w:r>
    </w:p>
    <w:p>
      <w:pPr>
        <w:spacing w:after="0"/>
        <w:jc w:val="both"/>
        <w:sectPr>
          <w:pgSz w:w="9530" w:h="13610"/>
          <w:pgMar w:header="860" w:footer="344" w:top="1060" w:bottom="540" w:left="740" w:right="740"/>
        </w:sectPr>
      </w:pPr>
    </w:p>
    <w:p>
      <w:pPr>
        <w:pStyle w:val="BodyText"/>
      </w:pPr>
    </w:p>
    <w:p>
      <w:pPr>
        <w:pStyle w:val="BodyText"/>
        <w:spacing w:before="1"/>
      </w:pPr>
    </w:p>
    <w:p>
      <w:pPr>
        <w:pStyle w:val="BodyText"/>
        <w:spacing w:line="249" w:lineRule="auto" w:before="1"/>
        <w:ind w:left="252" w:right="249" w:firstLine="567"/>
        <w:jc w:val="both"/>
      </w:pPr>
      <w:r>
        <w:rPr>
          <w:color w:val="231F20"/>
        </w:rPr>
        <w:t>30 maddelik ölçeğin yapısal ve faktöriyel özelliklerini ortaya çıkartmak için </w:t>
      </w:r>
      <w:r>
        <w:rPr>
          <w:color w:val="231F20"/>
          <w:spacing w:val="-3"/>
        </w:rPr>
        <w:t>Temel </w:t>
      </w:r>
      <w:r>
        <w:rPr>
          <w:color w:val="231F20"/>
        </w:rPr>
        <w:t>eksen faktörleme (principal axis factoring) seçilerek AFA uygulanmıştır. Analizin iki avan- tajı bulunmaktadır. Bunlardan ilki bu analizin yaygın olarak kullanılmasıdır. İkinci avantaj  ise ortak faktör varyansı, özgül ve hata varyansları çıkartılarak analiz edilmesi sebebiyle bu tekniğin</w:t>
      </w:r>
      <w:r>
        <w:rPr>
          <w:color w:val="231F20"/>
          <w:spacing w:val="-5"/>
        </w:rPr>
        <w:t> </w:t>
      </w:r>
      <w:r>
        <w:rPr>
          <w:color w:val="231F20"/>
        </w:rPr>
        <w:t>faktör</w:t>
      </w:r>
      <w:r>
        <w:rPr>
          <w:color w:val="231F20"/>
          <w:spacing w:val="-4"/>
        </w:rPr>
        <w:t> </w:t>
      </w:r>
      <w:r>
        <w:rPr>
          <w:color w:val="231F20"/>
        </w:rPr>
        <w:t>analizi</w:t>
      </w:r>
      <w:r>
        <w:rPr>
          <w:color w:val="231F20"/>
          <w:spacing w:val="-5"/>
        </w:rPr>
        <w:t> </w:t>
      </w:r>
      <w:r>
        <w:rPr>
          <w:color w:val="231F20"/>
        </w:rPr>
        <w:t>modeline</w:t>
      </w:r>
      <w:r>
        <w:rPr>
          <w:color w:val="231F20"/>
          <w:spacing w:val="-4"/>
        </w:rPr>
        <w:t> </w:t>
      </w:r>
      <w:r>
        <w:rPr>
          <w:color w:val="231F20"/>
        </w:rPr>
        <w:t>uyması</w:t>
      </w:r>
      <w:r>
        <w:rPr>
          <w:color w:val="231F20"/>
          <w:spacing w:val="-5"/>
        </w:rPr>
        <w:t> </w:t>
      </w:r>
      <w:r>
        <w:rPr>
          <w:color w:val="231F20"/>
        </w:rPr>
        <w:t>ve</w:t>
      </w:r>
      <w:r>
        <w:rPr>
          <w:color w:val="231F20"/>
          <w:spacing w:val="-4"/>
        </w:rPr>
        <w:t> </w:t>
      </w:r>
      <w:r>
        <w:rPr>
          <w:color w:val="231F20"/>
        </w:rPr>
        <w:t>bu</w:t>
      </w:r>
      <w:r>
        <w:rPr>
          <w:color w:val="231F20"/>
          <w:spacing w:val="-5"/>
        </w:rPr>
        <w:t> </w:t>
      </w:r>
      <w:r>
        <w:rPr>
          <w:color w:val="231F20"/>
        </w:rPr>
        <w:t>sayede</w:t>
      </w:r>
      <w:r>
        <w:rPr>
          <w:color w:val="231F20"/>
          <w:spacing w:val="-4"/>
        </w:rPr>
        <w:t> </w:t>
      </w:r>
      <w:r>
        <w:rPr>
          <w:color w:val="231F20"/>
        </w:rPr>
        <w:t>azami</w:t>
      </w:r>
      <w:r>
        <w:rPr>
          <w:color w:val="231F20"/>
          <w:spacing w:val="-4"/>
        </w:rPr>
        <w:t> </w:t>
      </w:r>
      <w:r>
        <w:rPr>
          <w:color w:val="231F20"/>
        </w:rPr>
        <w:t>varyansın</w:t>
      </w:r>
      <w:r>
        <w:rPr>
          <w:color w:val="231F20"/>
          <w:spacing w:val="-5"/>
        </w:rPr>
        <w:t> </w:t>
      </w:r>
      <w:r>
        <w:rPr>
          <w:color w:val="231F20"/>
        </w:rPr>
        <w:t>ortaya</w:t>
      </w:r>
      <w:r>
        <w:rPr>
          <w:color w:val="231F20"/>
          <w:spacing w:val="-4"/>
        </w:rPr>
        <w:t> </w:t>
      </w:r>
      <w:r>
        <w:rPr>
          <w:color w:val="231F20"/>
        </w:rPr>
        <w:t>konulabilmesidir (Çokluk</w:t>
      </w:r>
      <w:r>
        <w:rPr>
          <w:color w:val="231F20"/>
          <w:spacing w:val="-8"/>
        </w:rPr>
        <w:t> </w:t>
      </w:r>
      <w:r>
        <w:rPr>
          <w:color w:val="231F20"/>
        </w:rPr>
        <w:t>vd.,</w:t>
      </w:r>
      <w:r>
        <w:rPr>
          <w:color w:val="231F20"/>
          <w:spacing w:val="-8"/>
        </w:rPr>
        <w:t> </w:t>
      </w:r>
      <w:r>
        <w:rPr>
          <w:color w:val="231F20"/>
        </w:rPr>
        <w:t>2016).</w:t>
      </w:r>
      <w:r>
        <w:rPr>
          <w:color w:val="231F20"/>
          <w:spacing w:val="-8"/>
        </w:rPr>
        <w:t> </w:t>
      </w:r>
      <w:r>
        <w:rPr>
          <w:color w:val="231F20"/>
        </w:rPr>
        <w:t>Geliştirme</w:t>
      </w:r>
      <w:r>
        <w:rPr>
          <w:color w:val="231F20"/>
          <w:spacing w:val="-8"/>
        </w:rPr>
        <w:t> </w:t>
      </w:r>
      <w:r>
        <w:rPr>
          <w:color w:val="231F20"/>
        </w:rPr>
        <w:t>aşamasındaki</w:t>
      </w:r>
      <w:r>
        <w:rPr>
          <w:color w:val="231F20"/>
          <w:spacing w:val="-8"/>
        </w:rPr>
        <w:t> </w:t>
      </w:r>
      <w:r>
        <w:rPr>
          <w:color w:val="231F20"/>
        </w:rPr>
        <w:t>bir</w:t>
      </w:r>
      <w:r>
        <w:rPr>
          <w:color w:val="231F20"/>
          <w:spacing w:val="-8"/>
        </w:rPr>
        <w:t> </w:t>
      </w:r>
      <w:r>
        <w:rPr>
          <w:color w:val="231F20"/>
        </w:rPr>
        <w:t>modelin</w:t>
      </w:r>
      <w:r>
        <w:rPr>
          <w:color w:val="231F20"/>
          <w:spacing w:val="-8"/>
        </w:rPr>
        <w:t> </w:t>
      </w:r>
      <w:r>
        <w:rPr>
          <w:color w:val="231F20"/>
        </w:rPr>
        <w:t>hata</w:t>
      </w:r>
      <w:r>
        <w:rPr>
          <w:color w:val="231F20"/>
          <w:spacing w:val="-7"/>
        </w:rPr>
        <w:t> </w:t>
      </w:r>
      <w:r>
        <w:rPr>
          <w:color w:val="231F20"/>
        </w:rPr>
        <w:t>ve</w:t>
      </w:r>
      <w:r>
        <w:rPr>
          <w:color w:val="231F20"/>
          <w:spacing w:val="-8"/>
        </w:rPr>
        <w:t> </w:t>
      </w:r>
      <w:r>
        <w:rPr>
          <w:color w:val="231F20"/>
        </w:rPr>
        <w:t>özgül</w:t>
      </w:r>
      <w:r>
        <w:rPr>
          <w:color w:val="231F20"/>
          <w:spacing w:val="-8"/>
        </w:rPr>
        <w:t> </w:t>
      </w:r>
      <w:r>
        <w:rPr>
          <w:color w:val="231F20"/>
        </w:rPr>
        <w:t>varyanstan</w:t>
      </w:r>
      <w:r>
        <w:rPr>
          <w:color w:val="231F20"/>
          <w:spacing w:val="-8"/>
        </w:rPr>
        <w:t> </w:t>
      </w:r>
      <w:r>
        <w:rPr>
          <w:color w:val="231F20"/>
        </w:rPr>
        <w:t>arındırılma- sı önceliklidir (Yaşlıoğlu, 2016). Yapılan analiz sonucunda, maddelerin ortak faktör varyans- larının (communalities) 0,449 ile 0,636 arasında değiştiği gözlenmiştir. Faktör analizinde, bu yük değerlerinin 0,40 ve daha yüksek olması iyi bir ölçü olarak kabul edilmektedir (Costello &amp; Osborne, 2005; Güriş &amp; Astar, 2015). Öz değeri 1’in üzerinde olan iki faktör olduğu tespit edilmiştir. İki faktörlü yapı tarafından açıklanan varyans 56,246 % olarak bulunmuştur. Genel bir kural olarak AFA’da tüm faktörlerin açıkladıkları toplam varyansın çok boyutlu</w:t>
      </w:r>
      <w:r>
        <w:rPr>
          <w:color w:val="231F20"/>
          <w:spacing w:val="-27"/>
        </w:rPr>
        <w:t> </w:t>
      </w:r>
      <w:r>
        <w:rPr>
          <w:color w:val="231F20"/>
        </w:rPr>
        <w:t>ölçeklerde en az 50% olması belirtilmiştir (Streiner, 1994).</w:t>
      </w:r>
    </w:p>
    <w:p>
      <w:pPr>
        <w:pStyle w:val="BodyText"/>
        <w:spacing w:line="249" w:lineRule="auto" w:before="124"/>
        <w:ind w:left="252" w:right="249" w:firstLine="567"/>
        <w:jc w:val="both"/>
      </w:pPr>
      <w:r>
        <w:rPr>
          <w:color w:val="231F20"/>
        </w:rPr>
        <w:t>Birinci faktör varyansın 52,605% sini, ikinci faktör 3,641% sini açıklamaktadır. İkinci faktörün açıklanan varyansa katkısının düşük olduğu gözlemlenmiştir. Bu sebeple iki faktör kararı verilmeden önce “Scree plot” grafiğinin de (yamaç birikinti grafiği) incelenmesi gerek- mektedir. Grafikte plato ya da düzleşme başladığı noktadan sonraki faktörlerin açıklanan var- yansa</w:t>
      </w:r>
      <w:r>
        <w:rPr>
          <w:color w:val="231F20"/>
          <w:spacing w:val="-10"/>
        </w:rPr>
        <w:t> </w:t>
      </w:r>
      <w:r>
        <w:rPr>
          <w:color w:val="231F20"/>
        </w:rPr>
        <w:t>önemli</w:t>
      </w:r>
      <w:r>
        <w:rPr>
          <w:color w:val="231F20"/>
          <w:spacing w:val="-9"/>
        </w:rPr>
        <w:t> </w:t>
      </w:r>
      <w:r>
        <w:rPr>
          <w:color w:val="231F20"/>
        </w:rPr>
        <w:t>katkı</w:t>
      </w:r>
      <w:r>
        <w:rPr>
          <w:color w:val="231F20"/>
          <w:spacing w:val="-10"/>
        </w:rPr>
        <w:t> </w:t>
      </w:r>
      <w:r>
        <w:rPr>
          <w:color w:val="231F20"/>
        </w:rPr>
        <w:t>yapmadığı</w:t>
      </w:r>
      <w:r>
        <w:rPr>
          <w:color w:val="231F20"/>
          <w:spacing w:val="-9"/>
        </w:rPr>
        <w:t> </w:t>
      </w:r>
      <w:r>
        <w:rPr>
          <w:color w:val="231F20"/>
        </w:rPr>
        <w:t>ifade</w:t>
      </w:r>
      <w:r>
        <w:rPr>
          <w:color w:val="231F20"/>
          <w:spacing w:val="-10"/>
        </w:rPr>
        <w:t> </w:t>
      </w:r>
      <w:r>
        <w:rPr>
          <w:color w:val="231F20"/>
        </w:rPr>
        <w:t>edilmiştir</w:t>
      </w:r>
      <w:r>
        <w:rPr>
          <w:color w:val="231F20"/>
          <w:spacing w:val="-9"/>
        </w:rPr>
        <w:t> </w:t>
      </w:r>
      <w:r>
        <w:rPr>
          <w:color w:val="231F20"/>
        </w:rPr>
        <w:t>(Çokluk</w:t>
      </w:r>
      <w:r>
        <w:rPr>
          <w:color w:val="231F20"/>
          <w:spacing w:val="-10"/>
        </w:rPr>
        <w:t> </w:t>
      </w:r>
      <w:r>
        <w:rPr>
          <w:color w:val="231F20"/>
        </w:rPr>
        <w:t>vd.,,</w:t>
      </w:r>
      <w:r>
        <w:rPr>
          <w:color w:val="231F20"/>
          <w:spacing w:val="-9"/>
        </w:rPr>
        <w:t> </w:t>
      </w:r>
      <w:r>
        <w:rPr>
          <w:color w:val="231F20"/>
        </w:rPr>
        <w:t>2016).</w:t>
      </w:r>
      <w:r>
        <w:rPr>
          <w:color w:val="231F20"/>
          <w:spacing w:val="-9"/>
        </w:rPr>
        <w:t> </w:t>
      </w:r>
      <w:r>
        <w:rPr>
          <w:color w:val="231F20"/>
        </w:rPr>
        <w:t>Grafikte</w:t>
      </w:r>
      <w:r>
        <w:rPr>
          <w:color w:val="231F20"/>
          <w:spacing w:val="-10"/>
        </w:rPr>
        <w:t> </w:t>
      </w:r>
      <w:r>
        <w:rPr>
          <w:color w:val="231F20"/>
        </w:rPr>
        <w:t>yüksek</w:t>
      </w:r>
      <w:r>
        <w:rPr>
          <w:color w:val="231F20"/>
          <w:spacing w:val="-9"/>
        </w:rPr>
        <w:t> </w:t>
      </w:r>
      <w:r>
        <w:rPr>
          <w:color w:val="231F20"/>
        </w:rPr>
        <w:t>ivmeli</w:t>
      </w:r>
      <w:r>
        <w:rPr>
          <w:color w:val="231F20"/>
          <w:spacing w:val="-10"/>
        </w:rPr>
        <w:t> </w:t>
      </w:r>
      <w:r>
        <w:rPr>
          <w:color w:val="231F20"/>
        </w:rPr>
        <w:t>hızlı düşüşlerin yaşandığı faktör önemli faktör sayısını verir (Büyüköztürk, 2002). Şekil 2’de yer alan</w:t>
      </w:r>
      <w:r>
        <w:rPr>
          <w:color w:val="231F20"/>
          <w:spacing w:val="-11"/>
        </w:rPr>
        <w:t> </w:t>
      </w:r>
      <w:r>
        <w:rPr>
          <w:color w:val="231F20"/>
        </w:rPr>
        <w:t>birinci</w:t>
      </w:r>
      <w:r>
        <w:rPr>
          <w:color w:val="231F20"/>
          <w:spacing w:val="-11"/>
        </w:rPr>
        <w:t> </w:t>
      </w:r>
      <w:r>
        <w:rPr>
          <w:color w:val="231F20"/>
        </w:rPr>
        <w:t>noktada</w:t>
      </w:r>
      <w:r>
        <w:rPr>
          <w:color w:val="231F20"/>
          <w:spacing w:val="-11"/>
        </w:rPr>
        <w:t> </w:t>
      </w:r>
      <w:r>
        <w:rPr>
          <w:color w:val="231F20"/>
        </w:rPr>
        <w:t>yüksek</w:t>
      </w:r>
      <w:r>
        <w:rPr>
          <w:color w:val="231F20"/>
          <w:spacing w:val="-11"/>
        </w:rPr>
        <w:t> </w:t>
      </w:r>
      <w:r>
        <w:rPr>
          <w:color w:val="231F20"/>
        </w:rPr>
        <w:t>ivmeli</w:t>
      </w:r>
      <w:r>
        <w:rPr>
          <w:color w:val="231F20"/>
          <w:spacing w:val="-10"/>
        </w:rPr>
        <w:t> </w:t>
      </w:r>
      <w:r>
        <w:rPr>
          <w:color w:val="231F20"/>
        </w:rPr>
        <w:t>bir</w:t>
      </w:r>
      <w:r>
        <w:rPr>
          <w:color w:val="231F20"/>
          <w:spacing w:val="-11"/>
        </w:rPr>
        <w:t> </w:t>
      </w:r>
      <w:r>
        <w:rPr>
          <w:color w:val="231F20"/>
        </w:rPr>
        <w:t>düşüş</w:t>
      </w:r>
      <w:r>
        <w:rPr>
          <w:color w:val="231F20"/>
          <w:spacing w:val="-11"/>
        </w:rPr>
        <w:t> </w:t>
      </w:r>
      <w:r>
        <w:rPr>
          <w:color w:val="231F20"/>
        </w:rPr>
        <w:t>gözlenmektedir,</w:t>
      </w:r>
      <w:r>
        <w:rPr>
          <w:color w:val="231F20"/>
          <w:spacing w:val="-11"/>
        </w:rPr>
        <w:t> </w:t>
      </w:r>
      <w:r>
        <w:rPr>
          <w:color w:val="231F20"/>
        </w:rPr>
        <w:t>ikinci</w:t>
      </w:r>
      <w:r>
        <w:rPr>
          <w:color w:val="231F20"/>
          <w:spacing w:val="-11"/>
        </w:rPr>
        <w:t> </w:t>
      </w:r>
      <w:r>
        <w:rPr>
          <w:color w:val="231F20"/>
        </w:rPr>
        <w:t>noktada</w:t>
      </w:r>
      <w:r>
        <w:rPr>
          <w:color w:val="231F20"/>
          <w:spacing w:val="-10"/>
        </w:rPr>
        <w:t> </w:t>
      </w:r>
      <w:r>
        <w:rPr>
          <w:color w:val="231F20"/>
        </w:rPr>
        <w:t>da</w:t>
      </w:r>
      <w:r>
        <w:rPr>
          <w:color w:val="231F20"/>
          <w:spacing w:val="-11"/>
        </w:rPr>
        <w:t> </w:t>
      </w:r>
      <w:r>
        <w:rPr>
          <w:color w:val="231F20"/>
        </w:rPr>
        <w:t>daha</w:t>
      </w:r>
      <w:r>
        <w:rPr>
          <w:color w:val="231F20"/>
          <w:spacing w:val="-11"/>
        </w:rPr>
        <w:t> </w:t>
      </w:r>
      <w:r>
        <w:rPr>
          <w:color w:val="231F20"/>
        </w:rPr>
        <w:t>az</w:t>
      </w:r>
      <w:r>
        <w:rPr>
          <w:color w:val="231F20"/>
          <w:spacing w:val="-11"/>
        </w:rPr>
        <w:t> </w:t>
      </w:r>
      <w:r>
        <w:rPr>
          <w:color w:val="231F20"/>
        </w:rPr>
        <w:t>olmakla birlikte ivmeli bir düşüş gözlenmektedir. Üçüncü ve sonraki faktörlerde grafiğin genel gidişi yatay olup, eğim benzerdir. Yaşlıoğlu (2017) ise, faktör sayısının belirlenmesinde kullanıla- bilecek “toplam varyansın yüzdesi” kriterinde, her ilave faktörün toplam varyansın </w:t>
      </w:r>
      <w:r>
        <w:rPr>
          <w:color w:val="231F20"/>
          <w:spacing w:val="-3"/>
        </w:rPr>
        <w:t>açıklan- </w:t>
      </w:r>
      <w:r>
        <w:rPr>
          <w:color w:val="231F20"/>
        </w:rPr>
        <w:t>masına katkısının 5% altına düştüğünde maksimum faktör sayısına ulaşılmış olduğunu ifade etmiştir. Kaiser ölçütü (öz değer&gt;1), Catell (1978)’in yamaç grafiği testi (scree test) ve</w:t>
      </w:r>
      <w:r>
        <w:rPr>
          <w:color w:val="231F20"/>
          <w:spacing w:val="-16"/>
        </w:rPr>
        <w:t> </w:t>
      </w:r>
      <w:r>
        <w:rPr>
          <w:color w:val="231F20"/>
        </w:rPr>
        <w:t>toplam varyansın yüzdesi ölçütleri dikkate alınarak önemli faktör sayısının iki olarak tanımlanmasına karar verilmiştir.</w:t>
      </w:r>
    </w:p>
    <w:p>
      <w:pPr>
        <w:pStyle w:val="BodyText"/>
        <w:spacing w:before="8"/>
      </w:pPr>
    </w:p>
    <w:p>
      <w:pPr>
        <w:pStyle w:val="Heading1"/>
      </w:pPr>
      <w:r>
        <w:rPr/>
        <w:pict>
          <v:group style="position:absolute;margin-left:49.6063pt;margin-top:16.167942pt;width:377.05pt;height:193.45pt;mso-position-horizontal-relative:page;mso-position-vertical-relative:paragraph;z-index:-15717376;mso-wrap-distance-left:0;mso-wrap-distance-right:0" coordorigin="992,323" coordsize="7541,3869">
            <v:line style="position:absolute" from="992,328" to="8532,328" stroked="true" strokeweight=".5pt" strokecolor="#231f20">
              <v:stroke dashstyle="solid"/>
            </v:line>
            <v:line style="position:absolute" from="997,4182" to="997,333" stroked="true" strokeweight=".5pt" strokecolor="#231f20">
              <v:stroke dashstyle="solid"/>
            </v:line>
            <v:line style="position:absolute" from="8527,4182" to="8527,333" stroked="true" strokeweight=".5pt" strokecolor="#231f20">
              <v:stroke dashstyle="solid"/>
            </v:line>
            <v:line style="position:absolute" from="992,4187" to="8532,4187" stroked="true" strokeweight=".5pt" strokecolor="#231f20">
              <v:stroke dashstyle="solid"/>
            </v:line>
            <v:shape style="position:absolute;left:1494;top:520;width:6658;height:3548" type="#_x0000_t75" stroked="false">
              <v:imagedata r:id="rId16" o:title=""/>
            </v:shape>
            <w10:wrap type="topAndBottom"/>
          </v:group>
        </w:pict>
      </w:r>
      <w:r>
        <w:rPr>
          <w:color w:val="231F20"/>
        </w:rPr>
        <w:t>Şekil 2: Ölçeğin AFA Analizine İlişkin Yamaç Serpinti Grafiği (n=1393)</w:t>
      </w:r>
    </w:p>
    <w:p>
      <w:pPr>
        <w:spacing w:after="0"/>
        <w:sectPr>
          <w:pgSz w:w="9530" w:h="13610"/>
          <w:pgMar w:header="700" w:footer="344" w:top="1060" w:bottom="540" w:left="740" w:right="740"/>
        </w:sectPr>
      </w:pPr>
    </w:p>
    <w:p>
      <w:pPr>
        <w:pStyle w:val="BodyText"/>
        <w:rPr>
          <w:b/>
        </w:rPr>
      </w:pPr>
    </w:p>
    <w:p>
      <w:pPr>
        <w:pStyle w:val="BodyText"/>
        <w:spacing w:before="1"/>
        <w:rPr>
          <w:b/>
        </w:rPr>
      </w:pPr>
    </w:p>
    <w:p>
      <w:pPr>
        <w:pStyle w:val="BodyText"/>
        <w:spacing w:line="249" w:lineRule="auto" w:before="1"/>
        <w:ind w:left="252" w:right="249" w:firstLine="567"/>
        <w:jc w:val="both"/>
      </w:pPr>
      <w:r>
        <w:rPr>
          <w:color w:val="231F20"/>
        </w:rPr>
        <w:t>Döndürme metodu olarak eğik döndürme yöntemlerinden Promax tercih edilmiştir. Analiz sonucunda faktörler arasında korelasyon değerinin 0,785 olduğu gözlemlenmiştir. Fak- törler arasındaki kolerasyon değeri 0,30’dan büyük olduğunda faktörlerin birbirleriyle ilişkili olduğu kabul edilmektedir (Bursal, 2019). Promax (Kappa:4) rotasyonu (döndürme) sonucun- da, faktör yük değerleri kabul düzeyini (&gt;,32) karşılamakla birlikte, “</w:t>
      </w:r>
      <w:r>
        <w:rPr>
          <w:i/>
          <w:color w:val="231F20"/>
        </w:rPr>
        <w:t>Çalışanların karar alma </w:t>
      </w:r>
      <w:r>
        <w:rPr>
          <w:i/>
          <w:color w:val="231F20"/>
        </w:rPr>
        <w:t>süreçlerine katılımlarını sağlar</w:t>
      </w:r>
      <w:r>
        <w:rPr>
          <w:color w:val="231F20"/>
        </w:rPr>
        <w:t>” maddesi, binişiklik sebebiyle ölçekten çıkartılmıştır. İlgili madde çıkarıldıktan sonra tekrarlanan analiz sonucunda, binişik veya faktör yük değeri kabul düzeyini karşılamayan madde gözlenmemiştir.</w:t>
      </w:r>
    </w:p>
    <w:p>
      <w:pPr>
        <w:pStyle w:val="BodyText"/>
        <w:spacing w:line="249" w:lineRule="auto" w:before="120"/>
        <w:ind w:left="252" w:right="249" w:firstLine="567"/>
        <w:jc w:val="both"/>
      </w:pPr>
      <w:r>
        <w:rPr>
          <w:color w:val="231F20"/>
        </w:rPr>
        <w:t>Faktörler arasındaki korelasyon matrisi incelendiğinde, korelasyon değerinin 0,779 olduğu</w:t>
      </w:r>
      <w:r>
        <w:rPr>
          <w:color w:val="231F20"/>
          <w:spacing w:val="-5"/>
        </w:rPr>
        <w:t> </w:t>
      </w:r>
      <w:r>
        <w:rPr>
          <w:color w:val="231F20"/>
        </w:rPr>
        <w:t>görülmüştür.</w:t>
      </w:r>
      <w:r>
        <w:rPr>
          <w:color w:val="231F20"/>
          <w:spacing w:val="-4"/>
        </w:rPr>
        <w:t> </w:t>
      </w:r>
      <w:r>
        <w:rPr>
          <w:color w:val="231F20"/>
        </w:rPr>
        <w:t>Faktörlerin</w:t>
      </w:r>
      <w:r>
        <w:rPr>
          <w:color w:val="231F20"/>
          <w:spacing w:val="-4"/>
        </w:rPr>
        <w:t> </w:t>
      </w:r>
      <w:r>
        <w:rPr>
          <w:color w:val="231F20"/>
        </w:rPr>
        <w:t>tüm</w:t>
      </w:r>
      <w:r>
        <w:rPr>
          <w:color w:val="231F20"/>
          <w:spacing w:val="-4"/>
        </w:rPr>
        <w:t> </w:t>
      </w:r>
      <w:r>
        <w:rPr>
          <w:color w:val="231F20"/>
        </w:rPr>
        <w:t>ölçekle</w:t>
      </w:r>
      <w:r>
        <w:rPr>
          <w:color w:val="231F20"/>
          <w:spacing w:val="-4"/>
        </w:rPr>
        <w:t> </w:t>
      </w:r>
      <w:r>
        <w:rPr>
          <w:color w:val="231F20"/>
        </w:rPr>
        <w:t>korelasyonu</w:t>
      </w:r>
      <w:r>
        <w:rPr>
          <w:color w:val="231F20"/>
          <w:spacing w:val="-4"/>
        </w:rPr>
        <w:t> </w:t>
      </w:r>
      <w:r>
        <w:rPr>
          <w:color w:val="231F20"/>
        </w:rPr>
        <w:t>hesaplandığında</w:t>
      </w:r>
      <w:r>
        <w:rPr>
          <w:color w:val="231F20"/>
          <w:spacing w:val="-4"/>
        </w:rPr>
        <w:t> </w:t>
      </w:r>
      <w:r>
        <w:rPr>
          <w:color w:val="231F20"/>
        </w:rPr>
        <w:t>ise,</w:t>
      </w:r>
      <w:r>
        <w:rPr>
          <w:color w:val="231F20"/>
          <w:spacing w:val="-4"/>
        </w:rPr>
        <w:t> </w:t>
      </w:r>
      <w:r>
        <w:rPr>
          <w:color w:val="231F20"/>
        </w:rPr>
        <w:t>birinci</w:t>
      </w:r>
      <w:r>
        <w:rPr>
          <w:color w:val="231F20"/>
          <w:spacing w:val="-4"/>
        </w:rPr>
        <w:t> </w:t>
      </w:r>
      <w:r>
        <w:rPr>
          <w:color w:val="231F20"/>
        </w:rPr>
        <w:t>faktörün ölçeğin geneli ile korelasyon değeri 0,98; ikinci faktörün ölçeğin geneli ile korelasyon değeri 0,81</w:t>
      </w:r>
      <w:r>
        <w:rPr>
          <w:color w:val="231F20"/>
          <w:spacing w:val="-10"/>
        </w:rPr>
        <w:t> </w:t>
      </w:r>
      <w:r>
        <w:rPr>
          <w:color w:val="231F20"/>
        </w:rPr>
        <w:t>olarak</w:t>
      </w:r>
      <w:r>
        <w:rPr>
          <w:color w:val="231F20"/>
          <w:spacing w:val="-10"/>
        </w:rPr>
        <w:t> </w:t>
      </w:r>
      <w:r>
        <w:rPr>
          <w:color w:val="231F20"/>
        </w:rPr>
        <w:t>elde</w:t>
      </w:r>
      <w:r>
        <w:rPr>
          <w:color w:val="231F20"/>
          <w:spacing w:val="-10"/>
        </w:rPr>
        <w:t> </w:t>
      </w:r>
      <w:r>
        <w:rPr>
          <w:color w:val="231F20"/>
        </w:rPr>
        <w:t>edilmiştir.</w:t>
      </w:r>
      <w:r>
        <w:rPr>
          <w:color w:val="231F20"/>
          <w:spacing w:val="-10"/>
        </w:rPr>
        <w:t> </w:t>
      </w:r>
      <w:r>
        <w:rPr>
          <w:color w:val="231F20"/>
        </w:rPr>
        <w:t>Faktörlerin</w:t>
      </w:r>
      <w:r>
        <w:rPr>
          <w:color w:val="231F20"/>
          <w:spacing w:val="-10"/>
        </w:rPr>
        <w:t> </w:t>
      </w:r>
      <w:r>
        <w:rPr>
          <w:color w:val="231F20"/>
        </w:rPr>
        <w:t>tüm</w:t>
      </w:r>
      <w:r>
        <w:rPr>
          <w:color w:val="231F20"/>
          <w:spacing w:val="-10"/>
        </w:rPr>
        <w:t> </w:t>
      </w:r>
      <w:r>
        <w:rPr>
          <w:color w:val="231F20"/>
        </w:rPr>
        <w:t>ölçekle</w:t>
      </w:r>
      <w:r>
        <w:rPr>
          <w:color w:val="231F20"/>
          <w:spacing w:val="-10"/>
        </w:rPr>
        <w:t> </w:t>
      </w:r>
      <w:r>
        <w:rPr>
          <w:color w:val="231F20"/>
        </w:rPr>
        <w:t>korelasyonu</w:t>
      </w:r>
      <w:r>
        <w:rPr>
          <w:color w:val="231F20"/>
          <w:spacing w:val="-9"/>
        </w:rPr>
        <w:t> </w:t>
      </w:r>
      <w:r>
        <w:rPr>
          <w:color w:val="231F20"/>
        </w:rPr>
        <w:t>birbirleriyle</w:t>
      </w:r>
      <w:r>
        <w:rPr>
          <w:color w:val="231F20"/>
          <w:spacing w:val="-10"/>
        </w:rPr>
        <w:t> </w:t>
      </w:r>
      <w:r>
        <w:rPr>
          <w:color w:val="231F20"/>
        </w:rPr>
        <w:t>olandan</w:t>
      </w:r>
      <w:r>
        <w:rPr>
          <w:color w:val="231F20"/>
          <w:spacing w:val="-10"/>
        </w:rPr>
        <w:t> </w:t>
      </w:r>
      <w:r>
        <w:rPr>
          <w:color w:val="231F20"/>
        </w:rPr>
        <w:t>daha</w:t>
      </w:r>
      <w:r>
        <w:rPr>
          <w:color w:val="231F20"/>
          <w:spacing w:val="-10"/>
        </w:rPr>
        <w:t> </w:t>
      </w:r>
      <w:r>
        <w:rPr>
          <w:color w:val="231F20"/>
        </w:rPr>
        <w:t>yük- sektir.</w:t>
      </w:r>
      <w:r>
        <w:rPr>
          <w:color w:val="231F20"/>
          <w:spacing w:val="-10"/>
        </w:rPr>
        <w:t> </w:t>
      </w:r>
      <w:r>
        <w:rPr>
          <w:color w:val="231F20"/>
        </w:rPr>
        <w:t>Ölçeğin</w:t>
      </w:r>
      <w:r>
        <w:rPr>
          <w:color w:val="231F20"/>
          <w:spacing w:val="-9"/>
        </w:rPr>
        <w:t> </w:t>
      </w:r>
      <w:r>
        <w:rPr>
          <w:color w:val="231F20"/>
        </w:rPr>
        <w:t>tümünün</w:t>
      </w:r>
      <w:r>
        <w:rPr>
          <w:color w:val="231F20"/>
          <w:spacing w:val="-8"/>
        </w:rPr>
        <w:t> </w:t>
      </w:r>
      <w:r>
        <w:rPr>
          <w:color w:val="231F20"/>
        </w:rPr>
        <w:t>iç</w:t>
      </w:r>
      <w:r>
        <w:rPr>
          <w:color w:val="231F20"/>
          <w:spacing w:val="-8"/>
        </w:rPr>
        <w:t> </w:t>
      </w:r>
      <w:r>
        <w:rPr>
          <w:color w:val="231F20"/>
        </w:rPr>
        <w:t>tutarlığına</w:t>
      </w:r>
      <w:r>
        <w:rPr>
          <w:color w:val="231F20"/>
          <w:spacing w:val="-9"/>
        </w:rPr>
        <w:t> </w:t>
      </w:r>
      <w:r>
        <w:rPr>
          <w:color w:val="231F20"/>
        </w:rPr>
        <w:t>bakıldığında,</w:t>
      </w:r>
      <w:r>
        <w:rPr>
          <w:color w:val="231F20"/>
          <w:spacing w:val="-9"/>
        </w:rPr>
        <w:t> </w:t>
      </w:r>
      <w:r>
        <w:rPr>
          <w:color w:val="231F20"/>
        </w:rPr>
        <w:t>0,969</w:t>
      </w:r>
      <w:r>
        <w:rPr>
          <w:color w:val="231F20"/>
          <w:spacing w:val="-8"/>
        </w:rPr>
        <w:t> </w:t>
      </w:r>
      <w:r>
        <w:rPr>
          <w:color w:val="231F20"/>
        </w:rPr>
        <w:t>olarak</w:t>
      </w:r>
      <w:r>
        <w:rPr>
          <w:color w:val="231F20"/>
          <w:spacing w:val="-10"/>
        </w:rPr>
        <w:t> </w:t>
      </w:r>
      <w:r>
        <w:rPr>
          <w:color w:val="231F20"/>
        </w:rPr>
        <w:t>yüksek</w:t>
      </w:r>
      <w:r>
        <w:rPr>
          <w:color w:val="231F20"/>
          <w:spacing w:val="-8"/>
        </w:rPr>
        <w:t> </w:t>
      </w:r>
      <w:r>
        <w:rPr>
          <w:color w:val="231F20"/>
        </w:rPr>
        <w:t>olduğu</w:t>
      </w:r>
      <w:r>
        <w:rPr>
          <w:color w:val="231F20"/>
          <w:spacing w:val="-8"/>
        </w:rPr>
        <w:t> </w:t>
      </w:r>
      <w:r>
        <w:rPr>
          <w:color w:val="231F20"/>
        </w:rPr>
        <w:t>görülmektedir. Bu bulgular doğrultusunda ölçeğin bileşenli bir yapıya sahip olduğu sonucuna</w:t>
      </w:r>
      <w:r>
        <w:rPr>
          <w:color w:val="231F20"/>
          <w:spacing w:val="-9"/>
        </w:rPr>
        <w:t> </w:t>
      </w:r>
      <w:r>
        <w:rPr>
          <w:color w:val="231F20"/>
        </w:rPr>
        <w:t>ulaşılmıştır.</w:t>
      </w:r>
    </w:p>
    <w:p>
      <w:pPr>
        <w:pStyle w:val="BodyText"/>
        <w:spacing w:line="249" w:lineRule="auto" w:before="118"/>
        <w:ind w:left="252" w:right="249" w:firstLine="567"/>
        <w:jc w:val="both"/>
      </w:pPr>
      <w:r>
        <w:rPr>
          <w:color w:val="231F20"/>
        </w:rPr>
        <w:t>Döndürme</w:t>
      </w:r>
      <w:r>
        <w:rPr>
          <w:color w:val="231F20"/>
          <w:spacing w:val="-8"/>
        </w:rPr>
        <w:t> </w:t>
      </w:r>
      <w:r>
        <w:rPr>
          <w:color w:val="231F20"/>
        </w:rPr>
        <w:t>sonrasında</w:t>
      </w:r>
      <w:r>
        <w:rPr>
          <w:color w:val="231F20"/>
          <w:spacing w:val="-8"/>
        </w:rPr>
        <w:t> </w:t>
      </w:r>
      <w:r>
        <w:rPr>
          <w:color w:val="231F20"/>
        </w:rPr>
        <w:t>maddelerin</w:t>
      </w:r>
      <w:r>
        <w:rPr>
          <w:color w:val="231F20"/>
          <w:spacing w:val="-8"/>
        </w:rPr>
        <w:t> </w:t>
      </w:r>
      <w:r>
        <w:rPr>
          <w:color w:val="231F20"/>
        </w:rPr>
        <w:t>faktör</w:t>
      </w:r>
      <w:r>
        <w:rPr>
          <w:color w:val="231F20"/>
          <w:spacing w:val="-7"/>
        </w:rPr>
        <w:t> </w:t>
      </w:r>
      <w:r>
        <w:rPr>
          <w:color w:val="231F20"/>
        </w:rPr>
        <w:t>yükleri,</w:t>
      </w:r>
      <w:r>
        <w:rPr>
          <w:color w:val="231F20"/>
          <w:spacing w:val="-8"/>
        </w:rPr>
        <w:t> </w:t>
      </w:r>
      <w:r>
        <w:rPr>
          <w:color w:val="231F20"/>
        </w:rPr>
        <w:t>madde</w:t>
      </w:r>
      <w:r>
        <w:rPr>
          <w:color w:val="231F20"/>
          <w:spacing w:val="-8"/>
        </w:rPr>
        <w:t> </w:t>
      </w:r>
      <w:r>
        <w:rPr>
          <w:color w:val="231F20"/>
        </w:rPr>
        <w:t>toplam</w:t>
      </w:r>
      <w:r>
        <w:rPr>
          <w:color w:val="231F20"/>
          <w:spacing w:val="-8"/>
        </w:rPr>
        <w:t> </w:t>
      </w:r>
      <w:r>
        <w:rPr>
          <w:color w:val="231F20"/>
        </w:rPr>
        <w:t>puan</w:t>
      </w:r>
      <w:r>
        <w:rPr>
          <w:color w:val="231F20"/>
          <w:spacing w:val="-7"/>
        </w:rPr>
        <w:t> </w:t>
      </w:r>
      <w:r>
        <w:rPr>
          <w:color w:val="231F20"/>
        </w:rPr>
        <w:t>korelasyon</w:t>
      </w:r>
      <w:r>
        <w:rPr>
          <w:color w:val="231F20"/>
          <w:spacing w:val="-8"/>
        </w:rPr>
        <w:t> </w:t>
      </w:r>
      <w:r>
        <w:rPr>
          <w:color w:val="231F20"/>
        </w:rPr>
        <w:t>değer- leri, öz değer ve açıklanan varyans oranları Tablo 4’te sunulmuştur. Faktör analizi sonucunda ortaya konulan iki bileşenli yapı, tasarlanan yapıdan farklılık göstermiş olsa da, Sarıçam’ın (2017)</w:t>
      </w:r>
      <w:r>
        <w:rPr>
          <w:color w:val="231F20"/>
          <w:spacing w:val="-5"/>
        </w:rPr>
        <w:t> </w:t>
      </w:r>
      <w:r>
        <w:rPr>
          <w:color w:val="231F20"/>
        </w:rPr>
        <w:t>belirttiği</w:t>
      </w:r>
      <w:r>
        <w:rPr>
          <w:color w:val="231F20"/>
          <w:spacing w:val="-4"/>
        </w:rPr>
        <w:t> </w:t>
      </w:r>
      <w:r>
        <w:rPr>
          <w:color w:val="231F20"/>
        </w:rPr>
        <w:t>üzere,</w:t>
      </w:r>
      <w:r>
        <w:rPr>
          <w:color w:val="231F20"/>
          <w:spacing w:val="-4"/>
        </w:rPr>
        <w:t> </w:t>
      </w:r>
      <w:r>
        <w:rPr>
          <w:color w:val="231F20"/>
        </w:rPr>
        <w:t>“işin</w:t>
      </w:r>
      <w:r>
        <w:rPr>
          <w:color w:val="231F20"/>
          <w:spacing w:val="-4"/>
        </w:rPr>
        <w:t> </w:t>
      </w:r>
      <w:r>
        <w:rPr>
          <w:color w:val="231F20"/>
        </w:rPr>
        <w:t>ve</w:t>
      </w:r>
      <w:r>
        <w:rPr>
          <w:color w:val="231F20"/>
          <w:spacing w:val="-4"/>
        </w:rPr>
        <w:t> </w:t>
      </w:r>
      <w:r>
        <w:rPr>
          <w:color w:val="231F20"/>
        </w:rPr>
        <w:t>takımın</w:t>
      </w:r>
      <w:r>
        <w:rPr>
          <w:color w:val="231F20"/>
          <w:spacing w:val="-4"/>
        </w:rPr>
        <w:t> </w:t>
      </w:r>
      <w:r>
        <w:rPr>
          <w:color w:val="231F20"/>
        </w:rPr>
        <w:t>her</w:t>
      </w:r>
      <w:r>
        <w:rPr>
          <w:color w:val="231F20"/>
          <w:spacing w:val="-4"/>
        </w:rPr>
        <w:t> </w:t>
      </w:r>
      <w:r>
        <w:rPr>
          <w:color w:val="231F20"/>
        </w:rPr>
        <w:t>bakımdan</w:t>
      </w:r>
      <w:r>
        <w:rPr>
          <w:color w:val="231F20"/>
          <w:spacing w:val="-4"/>
        </w:rPr>
        <w:t> </w:t>
      </w:r>
      <w:r>
        <w:rPr>
          <w:color w:val="231F20"/>
        </w:rPr>
        <w:t>kontrol</w:t>
      </w:r>
      <w:r>
        <w:rPr>
          <w:color w:val="231F20"/>
          <w:spacing w:val="-4"/>
        </w:rPr>
        <w:t> </w:t>
      </w:r>
      <w:r>
        <w:rPr>
          <w:color w:val="231F20"/>
        </w:rPr>
        <w:t>altına</w:t>
      </w:r>
      <w:r>
        <w:rPr>
          <w:color w:val="231F20"/>
          <w:spacing w:val="-4"/>
        </w:rPr>
        <w:t> </w:t>
      </w:r>
      <w:r>
        <w:rPr>
          <w:color w:val="231F20"/>
        </w:rPr>
        <w:t>alınması</w:t>
      </w:r>
      <w:r>
        <w:rPr>
          <w:color w:val="231F20"/>
          <w:spacing w:val="-4"/>
        </w:rPr>
        <w:t> </w:t>
      </w:r>
      <w:r>
        <w:rPr>
          <w:color w:val="231F20"/>
        </w:rPr>
        <w:t>yöneltmenin</w:t>
      </w:r>
      <w:r>
        <w:rPr>
          <w:color w:val="231F20"/>
          <w:spacing w:val="-4"/>
        </w:rPr>
        <w:t> </w:t>
      </w:r>
      <w:r>
        <w:rPr>
          <w:color w:val="231F20"/>
        </w:rPr>
        <w:t>kap- samına girmektedir” şeklindeki ifadesinden hareketle uygun kabul</w:t>
      </w:r>
      <w:r>
        <w:rPr>
          <w:color w:val="231F20"/>
          <w:spacing w:val="-7"/>
        </w:rPr>
        <w:t> </w:t>
      </w:r>
      <w:r>
        <w:rPr>
          <w:color w:val="231F20"/>
        </w:rPr>
        <w:t>edilebilmektedir.</w:t>
      </w:r>
    </w:p>
    <w:p>
      <w:pPr>
        <w:pStyle w:val="BodyText"/>
        <w:spacing w:before="1"/>
      </w:pPr>
    </w:p>
    <w:p>
      <w:pPr>
        <w:pStyle w:val="Heading1"/>
      </w:pPr>
      <w:r>
        <w:rPr/>
        <w:pict>
          <v:group style="position:absolute;margin-left:49.6063pt;margin-top:16.167944pt;width:377.05pt;height:.5pt;mso-position-horizontal-relative:page;mso-position-vertical-relative:paragraph;z-index:-15716864;mso-wrap-distance-left:0;mso-wrap-distance-right:0" coordorigin="992,323" coordsize="7541,10">
            <v:line style="position:absolute" from="992,328" to="3090,328" stroked="true" strokeweight=".5pt" strokecolor="#231f20">
              <v:stroke dashstyle="solid"/>
            </v:line>
            <v:line style="position:absolute" from="3090,328" to="5131,328" stroked="true" strokeweight=".5pt" strokecolor="#231f20">
              <v:stroke dashstyle="solid"/>
            </v:line>
            <v:line style="position:absolute" from="5131,328" to="7172,328" stroked="true" strokeweight=".5pt" strokecolor="#231f20">
              <v:stroke dashstyle="solid"/>
            </v:line>
            <v:line style="position:absolute" from="7172,328" to="8532,328" stroked="true" strokeweight=".5pt" strokecolor="#231f20">
              <v:stroke dashstyle="solid"/>
            </v:line>
            <w10:wrap type="topAndBottom"/>
          </v:group>
        </w:pict>
      </w:r>
      <w:r>
        <w:rPr>
          <w:color w:val="231F20"/>
        </w:rPr>
        <w:t>Tablo 4: Döndürme Sonrası AFA’ya İlişkin Bulgular (n=1393)</w:t>
      </w:r>
    </w:p>
    <w:p>
      <w:pPr>
        <w:spacing w:before="8" w:after="37"/>
        <w:ind w:left="2200" w:right="1460" w:firstLine="0"/>
        <w:jc w:val="center"/>
        <w:rPr>
          <w:b/>
          <w:sz w:val="20"/>
        </w:rPr>
      </w:pPr>
      <w:r>
        <w:rPr>
          <w:b/>
          <w:color w:val="231F20"/>
          <w:sz w:val="20"/>
        </w:rPr>
        <w:t>Alt Bileşenler</w:t>
      </w: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5"/>
        <w:gridCol w:w="2664"/>
        <w:gridCol w:w="2048"/>
        <w:gridCol w:w="1354"/>
      </w:tblGrid>
      <w:tr>
        <w:trPr>
          <w:trHeight w:val="778" w:hRule="atLeast"/>
        </w:trPr>
        <w:tc>
          <w:tcPr>
            <w:tcW w:w="1475" w:type="dxa"/>
            <w:tcBorders>
              <w:top w:val="single" w:sz="4" w:space="0" w:color="231F20"/>
              <w:bottom w:val="single" w:sz="4" w:space="0" w:color="231F20"/>
            </w:tcBorders>
          </w:tcPr>
          <w:p>
            <w:pPr>
              <w:pStyle w:val="TableParagraph"/>
              <w:spacing w:before="1"/>
              <w:rPr>
                <w:b/>
                <w:sz w:val="24"/>
              </w:rPr>
            </w:pPr>
          </w:p>
          <w:p>
            <w:pPr>
              <w:pStyle w:val="TableParagraph"/>
              <w:spacing w:before="0"/>
              <w:ind w:left="79"/>
              <w:rPr>
                <w:b/>
                <w:sz w:val="20"/>
              </w:rPr>
            </w:pPr>
            <w:r>
              <w:rPr>
                <w:b/>
                <w:color w:val="231F20"/>
                <w:sz w:val="20"/>
              </w:rPr>
              <w:t>İfadeler</w:t>
            </w:r>
          </w:p>
        </w:tc>
        <w:tc>
          <w:tcPr>
            <w:tcW w:w="2664" w:type="dxa"/>
            <w:tcBorders>
              <w:top w:val="single" w:sz="4" w:space="0" w:color="231F20"/>
              <w:bottom w:val="single" w:sz="4" w:space="0" w:color="231F20"/>
            </w:tcBorders>
          </w:tcPr>
          <w:p>
            <w:pPr>
              <w:pStyle w:val="TableParagraph"/>
              <w:spacing w:line="249" w:lineRule="auto" w:before="37"/>
              <w:ind w:left="718" w:right="94"/>
              <w:jc w:val="center"/>
              <w:rPr>
                <w:b/>
                <w:sz w:val="20"/>
              </w:rPr>
            </w:pPr>
            <w:r>
              <w:rPr>
                <w:b/>
                <w:color w:val="231F20"/>
                <w:sz w:val="20"/>
              </w:rPr>
              <w:t>Bileşen 1:Yöneltmede Çevik Liderlik Becerisi Algısı</w:t>
            </w:r>
          </w:p>
        </w:tc>
        <w:tc>
          <w:tcPr>
            <w:tcW w:w="2048" w:type="dxa"/>
            <w:tcBorders>
              <w:top w:val="single" w:sz="4" w:space="0" w:color="231F20"/>
              <w:bottom w:val="single" w:sz="4" w:space="0" w:color="231F20"/>
            </w:tcBorders>
          </w:tcPr>
          <w:p>
            <w:pPr>
              <w:pStyle w:val="TableParagraph"/>
              <w:spacing w:line="249" w:lineRule="auto" w:before="37"/>
              <w:ind w:left="94" w:right="100"/>
              <w:jc w:val="center"/>
              <w:rPr>
                <w:b/>
                <w:sz w:val="20"/>
              </w:rPr>
            </w:pPr>
            <w:r>
              <w:rPr>
                <w:b/>
                <w:color w:val="231F20"/>
                <w:sz w:val="20"/>
              </w:rPr>
              <w:t>Bileşen 2:Planlamada Çevik Liderlik Becerisi Algısı</w:t>
            </w:r>
          </w:p>
        </w:tc>
        <w:tc>
          <w:tcPr>
            <w:tcW w:w="1354" w:type="dxa"/>
            <w:tcBorders>
              <w:top w:val="single" w:sz="4" w:space="0" w:color="231F20"/>
              <w:bottom w:val="single" w:sz="4" w:space="0" w:color="231F20"/>
            </w:tcBorders>
          </w:tcPr>
          <w:p>
            <w:pPr>
              <w:pStyle w:val="TableParagraph"/>
              <w:spacing w:line="249" w:lineRule="auto" w:before="37"/>
              <w:ind w:left="77" w:right="83"/>
              <w:jc w:val="center"/>
              <w:rPr>
                <w:b/>
                <w:sz w:val="20"/>
              </w:rPr>
            </w:pPr>
            <w:r>
              <w:rPr>
                <w:b/>
                <w:color w:val="231F20"/>
                <w:sz w:val="20"/>
              </w:rPr>
              <w:t>Madde Toplam Puan Korelasyonu</w:t>
            </w:r>
          </w:p>
        </w:tc>
      </w:tr>
      <w:tr>
        <w:trPr>
          <w:trHeight w:val="301" w:hRule="atLeast"/>
        </w:trPr>
        <w:tc>
          <w:tcPr>
            <w:tcW w:w="1475" w:type="dxa"/>
            <w:tcBorders>
              <w:top w:val="single" w:sz="4" w:space="0" w:color="231F20"/>
              <w:bottom w:val="single" w:sz="2" w:space="0" w:color="231F20"/>
            </w:tcBorders>
          </w:tcPr>
          <w:p>
            <w:pPr>
              <w:pStyle w:val="TableParagraph"/>
              <w:spacing w:before="37"/>
              <w:ind w:left="79"/>
              <w:rPr>
                <w:b/>
                <w:sz w:val="20"/>
              </w:rPr>
            </w:pPr>
            <w:r>
              <w:rPr>
                <w:b/>
                <w:color w:val="231F20"/>
                <w:sz w:val="20"/>
              </w:rPr>
              <w:t>Y1</w:t>
            </w:r>
          </w:p>
        </w:tc>
        <w:tc>
          <w:tcPr>
            <w:tcW w:w="2664" w:type="dxa"/>
            <w:tcBorders>
              <w:top w:val="single" w:sz="4" w:space="0" w:color="231F20"/>
              <w:bottom w:val="single" w:sz="2" w:space="0" w:color="231F20"/>
            </w:tcBorders>
          </w:tcPr>
          <w:p>
            <w:pPr>
              <w:pStyle w:val="TableParagraph"/>
              <w:spacing w:before="37"/>
              <w:ind w:right="793"/>
              <w:jc w:val="right"/>
              <w:rPr>
                <w:sz w:val="20"/>
              </w:rPr>
            </w:pPr>
            <w:r>
              <w:rPr>
                <w:color w:val="231F20"/>
                <w:sz w:val="20"/>
              </w:rPr>
              <w:t>0,550</w:t>
            </w:r>
          </w:p>
        </w:tc>
        <w:tc>
          <w:tcPr>
            <w:tcW w:w="2048" w:type="dxa"/>
            <w:tcBorders>
              <w:top w:val="single" w:sz="4" w:space="0" w:color="231F20"/>
              <w:bottom w:val="single" w:sz="2" w:space="0" w:color="231F20"/>
            </w:tcBorders>
          </w:tcPr>
          <w:p>
            <w:pPr>
              <w:pStyle w:val="TableParagraph"/>
              <w:spacing w:before="0"/>
              <w:rPr>
                <w:sz w:val="18"/>
              </w:rPr>
            </w:pPr>
          </w:p>
        </w:tc>
        <w:tc>
          <w:tcPr>
            <w:tcW w:w="1354" w:type="dxa"/>
            <w:tcBorders>
              <w:top w:val="single" w:sz="4" w:space="0" w:color="231F20"/>
              <w:bottom w:val="single" w:sz="2" w:space="0" w:color="231F20"/>
            </w:tcBorders>
          </w:tcPr>
          <w:p>
            <w:pPr>
              <w:pStyle w:val="TableParagraph"/>
              <w:spacing w:before="37"/>
              <w:ind w:left="447"/>
              <w:rPr>
                <w:sz w:val="20"/>
              </w:rPr>
            </w:pPr>
            <w:r>
              <w:rPr>
                <w:color w:val="231F20"/>
                <w:sz w:val="20"/>
              </w:rPr>
              <w:t>0,730</w:t>
            </w:r>
          </w:p>
        </w:tc>
      </w:tr>
      <w:tr>
        <w:trPr>
          <w:trHeight w:val="303" w:hRule="atLeast"/>
        </w:trPr>
        <w:tc>
          <w:tcPr>
            <w:tcW w:w="1475" w:type="dxa"/>
            <w:tcBorders>
              <w:top w:val="single" w:sz="2" w:space="0" w:color="231F20"/>
              <w:bottom w:val="single" w:sz="2" w:space="0" w:color="231F20"/>
            </w:tcBorders>
          </w:tcPr>
          <w:p>
            <w:pPr>
              <w:pStyle w:val="TableParagraph"/>
              <w:ind w:left="79"/>
              <w:rPr>
                <w:b/>
                <w:sz w:val="20"/>
              </w:rPr>
            </w:pPr>
            <w:r>
              <w:rPr>
                <w:b/>
                <w:color w:val="231F20"/>
                <w:sz w:val="20"/>
              </w:rPr>
              <w:t>Y2</w:t>
            </w:r>
          </w:p>
        </w:tc>
        <w:tc>
          <w:tcPr>
            <w:tcW w:w="2664" w:type="dxa"/>
            <w:tcBorders>
              <w:top w:val="single" w:sz="2" w:space="0" w:color="231F20"/>
              <w:bottom w:val="single" w:sz="2" w:space="0" w:color="231F20"/>
            </w:tcBorders>
          </w:tcPr>
          <w:p>
            <w:pPr>
              <w:pStyle w:val="TableParagraph"/>
              <w:ind w:right="793"/>
              <w:jc w:val="right"/>
              <w:rPr>
                <w:sz w:val="20"/>
              </w:rPr>
            </w:pPr>
            <w:r>
              <w:rPr>
                <w:color w:val="231F20"/>
                <w:sz w:val="20"/>
              </w:rPr>
              <w:t>0,625</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8"/>
              <w:rPr>
                <w:sz w:val="20"/>
              </w:rPr>
            </w:pPr>
            <w:r>
              <w:rPr>
                <w:color w:val="231F20"/>
                <w:sz w:val="20"/>
              </w:rPr>
              <w:t>0,750</w:t>
            </w:r>
          </w:p>
        </w:tc>
      </w:tr>
      <w:tr>
        <w:trPr>
          <w:trHeight w:val="303" w:hRule="atLeast"/>
        </w:trPr>
        <w:tc>
          <w:tcPr>
            <w:tcW w:w="1475" w:type="dxa"/>
            <w:tcBorders>
              <w:top w:val="single" w:sz="2" w:space="0" w:color="231F20"/>
              <w:bottom w:val="single" w:sz="2" w:space="0" w:color="231F20"/>
            </w:tcBorders>
          </w:tcPr>
          <w:p>
            <w:pPr>
              <w:pStyle w:val="TableParagraph"/>
              <w:ind w:left="79"/>
              <w:rPr>
                <w:b/>
                <w:sz w:val="20"/>
              </w:rPr>
            </w:pPr>
            <w:r>
              <w:rPr>
                <w:b/>
                <w:color w:val="231F20"/>
                <w:sz w:val="20"/>
              </w:rPr>
              <w:t>Y3</w:t>
            </w:r>
          </w:p>
        </w:tc>
        <w:tc>
          <w:tcPr>
            <w:tcW w:w="2664" w:type="dxa"/>
            <w:tcBorders>
              <w:top w:val="single" w:sz="2" w:space="0" w:color="231F20"/>
              <w:bottom w:val="single" w:sz="2" w:space="0" w:color="231F20"/>
            </w:tcBorders>
          </w:tcPr>
          <w:p>
            <w:pPr>
              <w:pStyle w:val="TableParagraph"/>
              <w:ind w:right="793"/>
              <w:jc w:val="right"/>
              <w:rPr>
                <w:sz w:val="20"/>
              </w:rPr>
            </w:pPr>
            <w:r>
              <w:rPr>
                <w:color w:val="231F20"/>
                <w:sz w:val="20"/>
              </w:rPr>
              <w:t>0,552</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8"/>
              <w:rPr>
                <w:sz w:val="20"/>
              </w:rPr>
            </w:pPr>
            <w:r>
              <w:rPr>
                <w:color w:val="231F20"/>
                <w:sz w:val="20"/>
              </w:rPr>
              <w:t>0,764</w:t>
            </w:r>
          </w:p>
        </w:tc>
      </w:tr>
      <w:tr>
        <w:trPr>
          <w:trHeight w:val="303" w:hRule="atLeast"/>
        </w:trPr>
        <w:tc>
          <w:tcPr>
            <w:tcW w:w="1475" w:type="dxa"/>
            <w:tcBorders>
              <w:top w:val="single" w:sz="2" w:space="0" w:color="231F20"/>
              <w:bottom w:val="single" w:sz="2" w:space="0" w:color="231F20"/>
            </w:tcBorders>
          </w:tcPr>
          <w:p>
            <w:pPr>
              <w:pStyle w:val="TableParagraph"/>
              <w:ind w:left="79"/>
              <w:rPr>
                <w:b/>
                <w:sz w:val="20"/>
              </w:rPr>
            </w:pPr>
            <w:r>
              <w:rPr>
                <w:b/>
                <w:color w:val="231F20"/>
                <w:sz w:val="20"/>
              </w:rPr>
              <w:t>Y4</w:t>
            </w:r>
          </w:p>
        </w:tc>
        <w:tc>
          <w:tcPr>
            <w:tcW w:w="2664" w:type="dxa"/>
            <w:tcBorders>
              <w:top w:val="single" w:sz="2" w:space="0" w:color="231F20"/>
              <w:bottom w:val="single" w:sz="2" w:space="0" w:color="231F20"/>
            </w:tcBorders>
          </w:tcPr>
          <w:p>
            <w:pPr>
              <w:pStyle w:val="TableParagraph"/>
              <w:ind w:right="793"/>
              <w:jc w:val="right"/>
              <w:rPr>
                <w:sz w:val="20"/>
              </w:rPr>
            </w:pPr>
            <w:r>
              <w:rPr>
                <w:color w:val="231F20"/>
                <w:sz w:val="20"/>
              </w:rPr>
              <w:t>0,599</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8"/>
              <w:rPr>
                <w:sz w:val="20"/>
              </w:rPr>
            </w:pPr>
            <w:r>
              <w:rPr>
                <w:color w:val="231F20"/>
                <w:sz w:val="20"/>
              </w:rPr>
              <w:t>0,738</w:t>
            </w:r>
          </w:p>
        </w:tc>
      </w:tr>
      <w:tr>
        <w:trPr>
          <w:trHeight w:val="303" w:hRule="atLeast"/>
        </w:trPr>
        <w:tc>
          <w:tcPr>
            <w:tcW w:w="1475" w:type="dxa"/>
            <w:tcBorders>
              <w:top w:val="single" w:sz="2" w:space="0" w:color="231F20"/>
              <w:bottom w:val="single" w:sz="2" w:space="0" w:color="231F20"/>
            </w:tcBorders>
          </w:tcPr>
          <w:p>
            <w:pPr>
              <w:pStyle w:val="TableParagraph"/>
              <w:ind w:left="80"/>
              <w:rPr>
                <w:b/>
                <w:sz w:val="20"/>
              </w:rPr>
            </w:pPr>
            <w:r>
              <w:rPr>
                <w:b/>
                <w:color w:val="231F20"/>
                <w:sz w:val="20"/>
              </w:rPr>
              <w:t>Y5</w:t>
            </w:r>
          </w:p>
        </w:tc>
        <w:tc>
          <w:tcPr>
            <w:tcW w:w="2664" w:type="dxa"/>
            <w:tcBorders>
              <w:top w:val="single" w:sz="2" w:space="0" w:color="231F20"/>
              <w:bottom w:val="single" w:sz="2" w:space="0" w:color="231F20"/>
            </w:tcBorders>
          </w:tcPr>
          <w:p>
            <w:pPr>
              <w:pStyle w:val="TableParagraph"/>
              <w:ind w:right="793"/>
              <w:jc w:val="right"/>
              <w:rPr>
                <w:sz w:val="20"/>
              </w:rPr>
            </w:pPr>
            <w:r>
              <w:rPr>
                <w:color w:val="231F20"/>
                <w:sz w:val="20"/>
              </w:rPr>
              <w:t>0,493</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8"/>
              <w:rPr>
                <w:sz w:val="20"/>
              </w:rPr>
            </w:pPr>
            <w:r>
              <w:rPr>
                <w:color w:val="231F20"/>
                <w:sz w:val="20"/>
              </w:rPr>
              <w:t>0,656</w:t>
            </w:r>
          </w:p>
        </w:tc>
      </w:tr>
      <w:tr>
        <w:trPr>
          <w:trHeight w:val="303" w:hRule="atLeast"/>
        </w:trPr>
        <w:tc>
          <w:tcPr>
            <w:tcW w:w="1475" w:type="dxa"/>
            <w:tcBorders>
              <w:top w:val="single" w:sz="2" w:space="0" w:color="231F20"/>
              <w:bottom w:val="single" w:sz="2" w:space="0" w:color="231F20"/>
            </w:tcBorders>
          </w:tcPr>
          <w:p>
            <w:pPr>
              <w:pStyle w:val="TableParagraph"/>
              <w:ind w:left="80"/>
              <w:rPr>
                <w:b/>
                <w:sz w:val="20"/>
              </w:rPr>
            </w:pPr>
            <w:r>
              <w:rPr>
                <w:b/>
                <w:color w:val="231F20"/>
                <w:sz w:val="20"/>
              </w:rPr>
              <w:t>Y6</w:t>
            </w:r>
          </w:p>
        </w:tc>
        <w:tc>
          <w:tcPr>
            <w:tcW w:w="2664" w:type="dxa"/>
            <w:tcBorders>
              <w:top w:val="single" w:sz="2" w:space="0" w:color="231F20"/>
              <w:bottom w:val="single" w:sz="2" w:space="0" w:color="231F20"/>
            </w:tcBorders>
          </w:tcPr>
          <w:p>
            <w:pPr>
              <w:pStyle w:val="TableParagraph"/>
              <w:ind w:right="792"/>
              <w:jc w:val="right"/>
              <w:rPr>
                <w:sz w:val="20"/>
              </w:rPr>
            </w:pPr>
            <w:r>
              <w:rPr>
                <w:color w:val="231F20"/>
                <w:sz w:val="20"/>
              </w:rPr>
              <w:t>0,651</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8"/>
              <w:rPr>
                <w:sz w:val="20"/>
              </w:rPr>
            </w:pPr>
            <w:r>
              <w:rPr>
                <w:color w:val="231F20"/>
                <w:sz w:val="20"/>
              </w:rPr>
              <w:t>0,765</w:t>
            </w:r>
          </w:p>
        </w:tc>
      </w:tr>
      <w:tr>
        <w:trPr>
          <w:trHeight w:val="303" w:hRule="atLeast"/>
        </w:trPr>
        <w:tc>
          <w:tcPr>
            <w:tcW w:w="1475" w:type="dxa"/>
            <w:tcBorders>
              <w:top w:val="single" w:sz="2" w:space="0" w:color="231F20"/>
              <w:bottom w:val="single" w:sz="2" w:space="0" w:color="231F20"/>
            </w:tcBorders>
          </w:tcPr>
          <w:p>
            <w:pPr>
              <w:pStyle w:val="TableParagraph"/>
              <w:ind w:left="80"/>
              <w:rPr>
                <w:b/>
                <w:sz w:val="20"/>
              </w:rPr>
            </w:pPr>
            <w:r>
              <w:rPr>
                <w:b/>
                <w:color w:val="231F20"/>
                <w:sz w:val="20"/>
              </w:rPr>
              <w:t>Y7</w:t>
            </w:r>
          </w:p>
        </w:tc>
        <w:tc>
          <w:tcPr>
            <w:tcW w:w="2664" w:type="dxa"/>
            <w:tcBorders>
              <w:top w:val="single" w:sz="2" w:space="0" w:color="231F20"/>
              <w:bottom w:val="single" w:sz="2" w:space="0" w:color="231F20"/>
            </w:tcBorders>
          </w:tcPr>
          <w:p>
            <w:pPr>
              <w:pStyle w:val="TableParagraph"/>
              <w:ind w:right="792"/>
              <w:jc w:val="right"/>
              <w:rPr>
                <w:sz w:val="20"/>
              </w:rPr>
            </w:pPr>
            <w:r>
              <w:rPr>
                <w:color w:val="231F20"/>
                <w:sz w:val="20"/>
              </w:rPr>
              <w:t>0,609</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9"/>
              <w:rPr>
                <w:sz w:val="20"/>
              </w:rPr>
            </w:pPr>
            <w:r>
              <w:rPr>
                <w:color w:val="231F20"/>
                <w:sz w:val="20"/>
              </w:rPr>
              <w:t>0,737</w:t>
            </w:r>
          </w:p>
        </w:tc>
      </w:tr>
      <w:tr>
        <w:trPr>
          <w:trHeight w:val="303" w:hRule="atLeast"/>
        </w:trPr>
        <w:tc>
          <w:tcPr>
            <w:tcW w:w="1475" w:type="dxa"/>
            <w:tcBorders>
              <w:top w:val="single" w:sz="2" w:space="0" w:color="231F20"/>
              <w:bottom w:val="single" w:sz="2" w:space="0" w:color="231F20"/>
            </w:tcBorders>
          </w:tcPr>
          <w:p>
            <w:pPr>
              <w:pStyle w:val="TableParagraph"/>
              <w:ind w:left="80"/>
              <w:rPr>
                <w:b/>
                <w:sz w:val="20"/>
              </w:rPr>
            </w:pPr>
            <w:r>
              <w:rPr>
                <w:b/>
                <w:color w:val="231F20"/>
                <w:sz w:val="20"/>
              </w:rPr>
              <w:t>Y8</w:t>
            </w:r>
          </w:p>
        </w:tc>
        <w:tc>
          <w:tcPr>
            <w:tcW w:w="2664" w:type="dxa"/>
            <w:tcBorders>
              <w:top w:val="single" w:sz="2" w:space="0" w:color="231F20"/>
              <w:bottom w:val="single" w:sz="2" w:space="0" w:color="231F20"/>
            </w:tcBorders>
          </w:tcPr>
          <w:p>
            <w:pPr>
              <w:pStyle w:val="TableParagraph"/>
              <w:ind w:right="792"/>
              <w:jc w:val="right"/>
              <w:rPr>
                <w:sz w:val="20"/>
              </w:rPr>
            </w:pPr>
            <w:r>
              <w:rPr>
                <w:color w:val="231F20"/>
                <w:sz w:val="20"/>
              </w:rPr>
              <w:t>0,542</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9"/>
              <w:rPr>
                <w:sz w:val="20"/>
              </w:rPr>
            </w:pPr>
            <w:r>
              <w:rPr>
                <w:color w:val="231F20"/>
                <w:sz w:val="20"/>
              </w:rPr>
              <w:t>0,755</w:t>
            </w:r>
          </w:p>
        </w:tc>
      </w:tr>
      <w:tr>
        <w:trPr>
          <w:trHeight w:val="303" w:hRule="atLeast"/>
        </w:trPr>
        <w:tc>
          <w:tcPr>
            <w:tcW w:w="1475" w:type="dxa"/>
            <w:tcBorders>
              <w:top w:val="single" w:sz="2" w:space="0" w:color="231F20"/>
              <w:bottom w:val="single" w:sz="2" w:space="0" w:color="231F20"/>
            </w:tcBorders>
          </w:tcPr>
          <w:p>
            <w:pPr>
              <w:pStyle w:val="TableParagraph"/>
              <w:ind w:left="80"/>
              <w:rPr>
                <w:b/>
                <w:sz w:val="20"/>
              </w:rPr>
            </w:pPr>
            <w:r>
              <w:rPr>
                <w:b/>
                <w:color w:val="231F20"/>
                <w:sz w:val="20"/>
              </w:rPr>
              <w:t>Y9</w:t>
            </w:r>
          </w:p>
        </w:tc>
        <w:tc>
          <w:tcPr>
            <w:tcW w:w="2664" w:type="dxa"/>
            <w:tcBorders>
              <w:top w:val="single" w:sz="2" w:space="0" w:color="231F20"/>
              <w:bottom w:val="single" w:sz="2" w:space="0" w:color="231F20"/>
            </w:tcBorders>
          </w:tcPr>
          <w:p>
            <w:pPr>
              <w:pStyle w:val="TableParagraph"/>
              <w:ind w:right="792"/>
              <w:jc w:val="right"/>
              <w:rPr>
                <w:sz w:val="20"/>
              </w:rPr>
            </w:pPr>
            <w:r>
              <w:rPr>
                <w:color w:val="231F20"/>
                <w:sz w:val="20"/>
              </w:rPr>
              <w:t>0,677</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ind w:left="449"/>
              <w:rPr>
                <w:sz w:val="20"/>
              </w:rPr>
            </w:pPr>
            <w:r>
              <w:rPr>
                <w:color w:val="231F20"/>
                <w:sz w:val="20"/>
              </w:rPr>
              <w:t>0,787</w:t>
            </w:r>
          </w:p>
        </w:tc>
      </w:tr>
      <w:tr>
        <w:trPr>
          <w:trHeight w:val="303" w:hRule="atLeast"/>
        </w:trPr>
        <w:tc>
          <w:tcPr>
            <w:tcW w:w="1475" w:type="dxa"/>
            <w:tcBorders>
              <w:top w:val="single" w:sz="2" w:space="0" w:color="231F20"/>
              <w:bottom w:val="single" w:sz="2" w:space="0" w:color="231F20"/>
            </w:tcBorders>
          </w:tcPr>
          <w:p>
            <w:pPr>
              <w:pStyle w:val="TableParagraph"/>
              <w:spacing w:before="41"/>
              <w:ind w:left="81"/>
              <w:rPr>
                <w:b/>
                <w:sz w:val="20"/>
              </w:rPr>
            </w:pPr>
            <w:r>
              <w:rPr>
                <w:b/>
                <w:color w:val="231F20"/>
                <w:sz w:val="20"/>
              </w:rPr>
              <w:t>Y10</w:t>
            </w:r>
          </w:p>
        </w:tc>
        <w:tc>
          <w:tcPr>
            <w:tcW w:w="2664" w:type="dxa"/>
            <w:tcBorders>
              <w:top w:val="single" w:sz="2" w:space="0" w:color="231F20"/>
              <w:bottom w:val="single" w:sz="2" w:space="0" w:color="231F20"/>
            </w:tcBorders>
          </w:tcPr>
          <w:p>
            <w:pPr>
              <w:pStyle w:val="TableParagraph"/>
              <w:spacing w:before="41"/>
              <w:ind w:right="792"/>
              <w:jc w:val="right"/>
              <w:rPr>
                <w:sz w:val="20"/>
              </w:rPr>
            </w:pPr>
            <w:r>
              <w:rPr>
                <w:color w:val="231F20"/>
                <w:sz w:val="20"/>
              </w:rPr>
              <w:t>0,685</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spacing w:before="41"/>
              <w:ind w:left="449"/>
              <w:rPr>
                <w:sz w:val="20"/>
              </w:rPr>
            </w:pPr>
            <w:r>
              <w:rPr>
                <w:color w:val="231F20"/>
                <w:sz w:val="20"/>
              </w:rPr>
              <w:t>0,785</w:t>
            </w:r>
          </w:p>
        </w:tc>
      </w:tr>
      <w:tr>
        <w:trPr>
          <w:trHeight w:val="303" w:hRule="atLeast"/>
        </w:trPr>
        <w:tc>
          <w:tcPr>
            <w:tcW w:w="1475" w:type="dxa"/>
            <w:tcBorders>
              <w:top w:val="single" w:sz="2" w:space="0" w:color="231F20"/>
              <w:bottom w:val="single" w:sz="2" w:space="0" w:color="231F20"/>
            </w:tcBorders>
          </w:tcPr>
          <w:p>
            <w:pPr>
              <w:pStyle w:val="TableParagraph"/>
              <w:spacing w:before="41"/>
              <w:ind w:left="81"/>
              <w:rPr>
                <w:b/>
                <w:sz w:val="20"/>
              </w:rPr>
            </w:pPr>
            <w:r>
              <w:rPr>
                <w:b/>
                <w:color w:val="231F20"/>
                <w:sz w:val="20"/>
              </w:rPr>
              <w:t>Y11</w:t>
            </w:r>
          </w:p>
        </w:tc>
        <w:tc>
          <w:tcPr>
            <w:tcW w:w="2664" w:type="dxa"/>
            <w:tcBorders>
              <w:top w:val="single" w:sz="2" w:space="0" w:color="231F20"/>
              <w:bottom w:val="single" w:sz="2" w:space="0" w:color="231F20"/>
            </w:tcBorders>
          </w:tcPr>
          <w:p>
            <w:pPr>
              <w:pStyle w:val="TableParagraph"/>
              <w:spacing w:before="41"/>
              <w:ind w:right="791"/>
              <w:jc w:val="right"/>
              <w:rPr>
                <w:sz w:val="20"/>
              </w:rPr>
            </w:pPr>
            <w:r>
              <w:rPr>
                <w:color w:val="231F20"/>
                <w:sz w:val="20"/>
              </w:rPr>
              <w:t>0,605</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spacing w:before="41"/>
              <w:ind w:left="449"/>
              <w:rPr>
                <w:sz w:val="20"/>
              </w:rPr>
            </w:pPr>
            <w:r>
              <w:rPr>
                <w:color w:val="231F20"/>
                <w:sz w:val="20"/>
              </w:rPr>
              <w:t>0,765</w:t>
            </w:r>
          </w:p>
        </w:tc>
      </w:tr>
      <w:tr>
        <w:trPr>
          <w:trHeight w:val="303" w:hRule="atLeast"/>
        </w:trPr>
        <w:tc>
          <w:tcPr>
            <w:tcW w:w="1475" w:type="dxa"/>
            <w:tcBorders>
              <w:top w:val="single" w:sz="2" w:space="0" w:color="231F20"/>
              <w:bottom w:val="single" w:sz="2" w:space="0" w:color="231F20"/>
            </w:tcBorders>
          </w:tcPr>
          <w:p>
            <w:pPr>
              <w:pStyle w:val="TableParagraph"/>
              <w:spacing w:before="41"/>
              <w:ind w:left="81"/>
              <w:rPr>
                <w:b/>
                <w:sz w:val="20"/>
              </w:rPr>
            </w:pPr>
            <w:r>
              <w:rPr>
                <w:b/>
                <w:color w:val="231F20"/>
                <w:sz w:val="20"/>
              </w:rPr>
              <w:t>Y12</w:t>
            </w:r>
          </w:p>
        </w:tc>
        <w:tc>
          <w:tcPr>
            <w:tcW w:w="2664" w:type="dxa"/>
            <w:tcBorders>
              <w:top w:val="single" w:sz="2" w:space="0" w:color="231F20"/>
              <w:bottom w:val="single" w:sz="2" w:space="0" w:color="231F20"/>
            </w:tcBorders>
          </w:tcPr>
          <w:p>
            <w:pPr>
              <w:pStyle w:val="TableParagraph"/>
              <w:spacing w:before="41"/>
              <w:ind w:right="791"/>
              <w:jc w:val="right"/>
              <w:rPr>
                <w:sz w:val="20"/>
              </w:rPr>
            </w:pPr>
            <w:r>
              <w:rPr>
                <w:color w:val="231F20"/>
                <w:sz w:val="20"/>
              </w:rPr>
              <w:t>0,791</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spacing w:before="41"/>
              <w:ind w:left="450"/>
              <w:rPr>
                <w:sz w:val="20"/>
              </w:rPr>
            </w:pPr>
            <w:r>
              <w:rPr>
                <w:color w:val="231F20"/>
                <w:sz w:val="20"/>
              </w:rPr>
              <w:t>0,772</w:t>
            </w:r>
          </w:p>
        </w:tc>
      </w:tr>
      <w:tr>
        <w:trPr>
          <w:trHeight w:val="303" w:hRule="atLeast"/>
        </w:trPr>
        <w:tc>
          <w:tcPr>
            <w:tcW w:w="1475" w:type="dxa"/>
            <w:tcBorders>
              <w:top w:val="single" w:sz="2" w:space="0" w:color="231F20"/>
              <w:bottom w:val="single" w:sz="2" w:space="0" w:color="231F20"/>
            </w:tcBorders>
          </w:tcPr>
          <w:p>
            <w:pPr>
              <w:pStyle w:val="TableParagraph"/>
              <w:spacing w:before="41"/>
              <w:ind w:left="81"/>
              <w:rPr>
                <w:b/>
                <w:sz w:val="20"/>
              </w:rPr>
            </w:pPr>
            <w:r>
              <w:rPr>
                <w:b/>
                <w:color w:val="231F20"/>
                <w:sz w:val="20"/>
              </w:rPr>
              <w:t>Y13</w:t>
            </w:r>
          </w:p>
        </w:tc>
        <w:tc>
          <w:tcPr>
            <w:tcW w:w="2664" w:type="dxa"/>
            <w:tcBorders>
              <w:top w:val="single" w:sz="2" w:space="0" w:color="231F20"/>
              <w:bottom w:val="single" w:sz="2" w:space="0" w:color="231F20"/>
            </w:tcBorders>
          </w:tcPr>
          <w:p>
            <w:pPr>
              <w:pStyle w:val="TableParagraph"/>
              <w:spacing w:before="41"/>
              <w:ind w:right="791"/>
              <w:jc w:val="right"/>
              <w:rPr>
                <w:sz w:val="20"/>
              </w:rPr>
            </w:pPr>
            <w:r>
              <w:rPr>
                <w:color w:val="231F20"/>
                <w:sz w:val="20"/>
              </w:rPr>
              <w:t>0,804</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spacing w:before="41"/>
              <w:ind w:left="450"/>
              <w:rPr>
                <w:sz w:val="20"/>
              </w:rPr>
            </w:pPr>
            <w:r>
              <w:rPr>
                <w:color w:val="231F20"/>
                <w:sz w:val="20"/>
              </w:rPr>
              <w:t>0,771</w:t>
            </w:r>
          </w:p>
        </w:tc>
      </w:tr>
      <w:tr>
        <w:trPr>
          <w:trHeight w:val="303" w:hRule="atLeast"/>
        </w:trPr>
        <w:tc>
          <w:tcPr>
            <w:tcW w:w="1475" w:type="dxa"/>
            <w:tcBorders>
              <w:top w:val="single" w:sz="2" w:space="0" w:color="231F20"/>
              <w:bottom w:val="single" w:sz="2" w:space="0" w:color="231F20"/>
            </w:tcBorders>
          </w:tcPr>
          <w:p>
            <w:pPr>
              <w:pStyle w:val="TableParagraph"/>
              <w:spacing w:before="41"/>
              <w:ind w:left="81"/>
              <w:rPr>
                <w:b/>
                <w:sz w:val="20"/>
              </w:rPr>
            </w:pPr>
            <w:r>
              <w:rPr>
                <w:b/>
                <w:color w:val="231F20"/>
                <w:sz w:val="20"/>
              </w:rPr>
              <w:t>Y14</w:t>
            </w:r>
          </w:p>
        </w:tc>
        <w:tc>
          <w:tcPr>
            <w:tcW w:w="2664" w:type="dxa"/>
            <w:tcBorders>
              <w:top w:val="single" w:sz="2" w:space="0" w:color="231F20"/>
              <w:bottom w:val="single" w:sz="2" w:space="0" w:color="231F20"/>
            </w:tcBorders>
          </w:tcPr>
          <w:p>
            <w:pPr>
              <w:pStyle w:val="TableParagraph"/>
              <w:spacing w:before="41"/>
              <w:ind w:right="791"/>
              <w:jc w:val="right"/>
              <w:rPr>
                <w:sz w:val="20"/>
              </w:rPr>
            </w:pPr>
            <w:r>
              <w:rPr>
                <w:color w:val="231F20"/>
                <w:sz w:val="20"/>
              </w:rPr>
              <w:t>0,841</w:t>
            </w:r>
          </w:p>
        </w:tc>
        <w:tc>
          <w:tcPr>
            <w:tcW w:w="2048" w:type="dxa"/>
            <w:tcBorders>
              <w:top w:val="single" w:sz="2" w:space="0" w:color="231F20"/>
              <w:bottom w:val="single" w:sz="2" w:space="0" w:color="231F20"/>
            </w:tcBorders>
          </w:tcPr>
          <w:p>
            <w:pPr>
              <w:pStyle w:val="TableParagraph"/>
              <w:spacing w:before="0"/>
              <w:rPr>
                <w:sz w:val="18"/>
              </w:rPr>
            </w:pPr>
          </w:p>
        </w:tc>
        <w:tc>
          <w:tcPr>
            <w:tcW w:w="1354" w:type="dxa"/>
            <w:tcBorders>
              <w:top w:val="single" w:sz="2" w:space="0" w:color="231F20"/>
              <w:bottom w:val="single" w:sz="2" w:space="0" w:color="231F20"/>
            </w:tcBorders>
          </w:tcPr>
          <w:p>
            <w:pPr>
              <w:pStyle w:val="TableParagraph"/>
              <w:spacing w:before="41"/>
              <w:ind w:left="450"/>
              <w:rPr>
                <w:sz w:val="20"/>
              </w:rPr>
            </w:pPr>
            <w:r>
              <w:rPr>
                <w:color w:val="231F20"/>
                <w:sz w:val="20"/>
              </w:rPr>
              <w:t>0,753</w:t>
            </w:r>
          </w:p>
        </w:tc>
      </w:tr>
    </w:tbl>
    <w:p>
      <w:pPr>
        <w:spacing w:after="0"/>
        <w:rPr>
          <w:sz w:val="20"/>
        </w:rPr>
        <w:sectPr>
          <w:pgSz w:w="9530" w:h="13610"/>
          <w:pgMar w:header="860" w:footer="344" w:top="1060" w:bottom="540" w:left="740" w:right="740"/>
        </w:sectPr>
      </w:pPr>
    </w:p>
    <w:p>
      <w:pPr>
        <w:pStyle w:val="BodyText"/>
        <w:rPr>
          <w:b/>
        </w:rPr>
      </w:pPr>
    </w:p>
    <w:p>
      <w:pPr>
        <w:pStyle w:val="BodyText"/>
        <w:spacing w:before="5"/>
        <w:rPr>
          <w:b/>
          <w:sz w:val="23"/>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8"/>
        <w:gridCol w:w="1318"/>
        <w:gridCol w:w="1054"/>
        <w:gridCol w:w="1541"/>
        <w:gridCol w:w="1530"/>
      </w:tblGrid>
      <w:tr>
        <w:trPr>
          <w:trHeight w:val="268" w:hRule="atLeast"/>
        </w:trPr>
        <w:tc>
          <w:tcPr>
            <w:tcW w:w="2098" w:type="dxa"/>
            <w:tcBorders>
              <w:bottom w:val="single" w:sz="2" w:space="0" w:color="231F20"/>
            </w:tcBorders>
          </w:tcPr>
          <w:p>
            <w:pPr>
              <w:pStyle w:val="TableParagraph"/>
              <w:spacing w:line="193" w:lineRule="exact" w:before="0"/>
              <w:ind w:left="1"/>
              <w:rPr>
                <w:b/>
                <w:sz w:val="20"/>
              </w:rPr>
            </w:pPr>
            <w:r>
              <w:rPr>
                <w:b/>
                <w:color w:val="231F20"/>
                <w:sz w:val="20"/>
              </w:rPr>
              <w:t>Tablo 4 devam</w:t>
            </w:r>
          </w:p>
        </w:tc>
        <w:tc>
          <w:tcPr>
            <w:tcW w:w="5443" w:type="dxa"/>
            <w:gridSpan w:val="4"/>
            <w:tcBorders>
              <w:bottom w:val="single" w:sz="2" w:space="0" w:color="231F20"/>
            </w:tcBorders>
          </w:tcPr>
          <w:p>
            <w:pPr>
              <w:pStyle w:val="TableParagraph"/>
              <w:spacing w:before="0"/>
              <w:rPr>
                <w:sz w:val="18"/>
              </w:rPr>
            </w:pPr>
          </w:p>
        </w:tc>
      </w:tr>
      <w:tr>
        <w:trPr>
          <w:trHeight w:val="303" w:hRule="atLeast"/>
        </w:trPr>
        <w:tc>
          <w:tcPr>
            <w:tcW w:w="2098" w:type="dxa"/>
            <w:tcBorders>
              <w:top w:val="single" w:sz="2" w:space="0" w:color="231F20"/>
              <w:bottom w:val="single" w:sz="2" w:space="0" w:color="231F20"/>
            </w:tcBorders>
          </w:tcPr>
          <w:p>
            <w:pPr>
              <w:pStyle w:val="TableParagraph"/>
              <w:ind w:left="79"/>
              <w:rPr>
                <w:b/>
                <w:sz w:val="20"/>
              </w:rPr>
            </w:pPr>
            <w:r>
              <w:rPr>
                <w:b/>
                <w:color w:val="231F20"/>
                <w:sz w:val="20"/>
              </w:rPr>
              <w:t>Y15</w:t>
            </w:r>
          </w:p>
        </w:tc>
        <w:tc>
          <w:tcPr>
            <w:tcW w:w="1318" w:type="dxa"/>
            <w:tcBorders>
              <w:top w:val="single" w:sz="2" w:space="0" w:color="231F20"/>
              <w:bottom w:val="single" w:sz="2" w:space="0" w:color="231F20"/>
            </w:tcBorders>
          </w:tcPr>
          <w:p>
            <w:pPr>
              <w:pStyle w:val="TableParagraph"/>
              <w:ind w:right="74"/>
              <w:jc w:val="right"/>
              <w:rPr>
                <w:sz w:val="20"/>
              </w:rPr>
            </w:pPr>
            <w:r>
              <w:rPr>
                <w:color w:val="231F20"/>
                <w:sz w:val="20"/>
              </w:rPr>
              <w:t>0,811</w:t>
            </w: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0"/>
              <w:rPr>
                <w:sz w:val="18"/>
              </w:rPr>
            </w:pPr>
          </w:p>
        </w:tc>
        <w:tc>
          <w:tcPr>
            <w:tcW w:w="1530" w:type="dxa"/>
            <w:tcBorders>
              <w:top w:val="single" w:sz="2" w:space="0" w:color="231F20"/>
              <w:bottom w:val="single" w:sz="2" w:space="0" w:color="231F20"/>
            </w:tcBorders>
          </w:tcPr>
          <w:p>
            <w:pPr>
              <w:pStyle w:val="TableParagraph"/>
              <w:ind w:right="454"/>
              <w:jc w:val="right"/>
              <w:rPr>
                <w:sz w:val="20"/>
              </w:rPr>
            </w:pPr>
            <w:r>
              <w:rPr>
                <w:color w:val="231F20"/>
                <w:sz w:val="20"/>
              </w:rPr>
              <w:t>0,759</w:t>
            </w:r>
          </w:p>
        </w:tc>
      </w:tr>
      <w:tr>
        <w:trPr>
          <w:trHeight w:val="303" w:hRule="atLeast"/>
        </w:trPr>
        <w:tc>
          <w:tcPr>
            <w:tcW w:w="2098" w:type="dxa"/>
            <w:tcBorders>
              <w:top w:val="single" w:sz="2" w:space="0" w:color="231F20"/>
              <w:bottom w:val="single" w:sz="2" w:space="0" w:color="231F20"/>
            </w:tcBorders>
          </w:tcPr>
          <w:p>
            <w:pPr>
              <w:pStyle w:val="TableParagraph"/>
              <w:ind w:left="79"/>
              <w:rPr>
                <w:b/>
                <w:sz w:val="20"/>
              </w:rPr>
            </w:pPr>
            <w:r>
              <w:rPr>
                <w:b/>
                <w:color w:val="231F20"/>
                <w:sz w:val="20"/>
              </w:rPr>
              <w:t>Y16</w:t>
            </w:r>
          </w:p>
        </w:tc>
        <w:tc>
          <w:tcPr>
            <w:tcW w:w="1318" w:type="dxa"/>
            <w:tcBorders>
              <w:top w:val="single" w:sz="2" w:space="0" w:color="231F20"/>
              <w:bottom w:val="single" w:sz="2" w:space="0" w:color="231F20"/>
            </w:tcBorders>
          </w:tcPr>
          <w:p>
            <w:pPr>
              <w:pStyle w:val="TableParagraph"/>
              <w:ind w:right="70"/>
              <w:jc w:val="right"/>
              <w:rPr>
                <w:sz w:val="20"/>
              </w:rPr>
            </w:pPr>
            <w:r>
              <w:rPr>
                <w:color w:val="231F20"/>
                <w:sz w:val="20"/>
              </w:rPr>
              <w:t>0,878</w:t>
            </w: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0"/>
              <w:rPr>
                <w:sz w:val="18"/>
              </w:rPr>
            </w:pPr>
          </w:p>
        </w:tc>
        <w:tc>
          <w:tcPr>
            <w:tcW w:w="1530" w:type="dxa"/>
            <w:tcBorders>
              <w:top w:val="single" w:sz="2" w:space="0" w:color="231F20"/>
              <w:bottom w:val="single" w:sz="2" w:space="0" w:color="231F20"/>
            </w:tcBorders>
          </w:tcPr>
          <w:p>
            <w:pPr>
              <w:pStyle w:val="TableParagraph"/>
              <w:ind w:right="454"/>
              <w:jc w:val="right"/>
              <w:rPr>
                <w:sz w:val="20"/>
              </w:rPr>
            </w:pPr>
            <w:r>
              <w:rPr>
                <w:color w:val="231F20"/>
                <w:sz w:val="20"/>
              </w:rPr>
              <w:t>0,758</w:t>
            </w:r>
          </w:p>
        </w:tc>
      </w:tr>
      <w:tr>
        <w:trPr>
          <w:trHeight w:val="303" w:hRule="atLeast"/>
        </w:trPr>
        <w:tc>
          <w:tcPr>
            <w:tcW w:w="2098" w:type="dxa"/>
            <w:tcBorders>
              <w:top w:val="single" w:sz="2" w:space="0" w:color="231F20"/>
              <w:bottom w:val="single" w:sz="2" w:space="0" w:color="231F20"/>
            </w:tcBorders>
          </w:tcPr>
          <w:p>
            <w:pPr>
              <w:pStyle w:val="TableParagraph"/>
              <w:ind w:left="79"/>
              <w:rPr>
                <w:b/>
                <w:sz w:val="20"/>
              </w:rPr>
            </w:pPr>
            <w:r>
              <w:rPr>
                <w:b/>
                <w:color w:val="231F20"/>
                <w:sz w:val="20"/>
              </w:rPr>
              <w:t>Y17</w:t>
            </w:r>
          </w:p>
        </w:tc>
        <w:tc>
          <w:tcPr>
            <w:tcW w:w="1318" w:type="dxa"/>
            <w:tcBorders>
              <w:top w:val="single" w:sz="2" w:space="0" w:color="231F20"/>
              <w:bottom w:val="single" w:sz="2" w:space="0" w:color="231F20"/>
            </w:tcBorders>
          </w:tcPr>
          <w:p>
            <w:pPr>
              <w:pStyle w:val="TableParagraph"/>
              <w:ind w:right="70"/>
              <w:jc w:val="right"/>
              <w:rPr>
                <w:sz w:val="20"/>
              </w:rPr>
            </w:pPr>
            <w:r>
              <w:rPr>
                <w:color w:val="231F20"/>
                <w:sz w:val="20"/>
              </w:rPr>
              <w:t>0,869</w:t>
            </w: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0"/>
              <w:rPr>
                <w:sz w:val="18"/>
              </w:rPr>
            </w:pP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0,695</w:t>
            </w:r>
          </w:p>
        </w:tc>
      </w:tr>
      <w:tr>
        <w:trPr>
          <w:trHeight w:val="303" w:hRule="atLeast"/>
        </w:trPr>
        <w:tc>
          <w:tcPr>
            <w:tcW w:w="2098" w:type="dxa"/>
            <w:tcBorders>
              <w:top w:val="single" w:sz="2" w:space="0" w:color="231F20"/>
              <w:bottom w:val="single" w:sz="2" w:space="0" w:color="231F20"/>
            </w:tcBorders>
          </w:tcPr>
          <w:p>
            <w:pPr>
              <w:pStyle w:val="TableParagraph"/>
              <w:ind w:left="79"/>
              <w:rPr>
                <w:b/>
                <w:sz w:val="20"/>
              </w:rPr>
            </w:pPr>
            <w:r>
              <w:rPr>
                <w:b/>
                <w:color w:val="231F20"/>
                <w:sz w:val="20"/>
              </w:rPr>
              <w:t>Y18</w:t>
            </w:r>
          </w:p>
        </w:tc>
        <w:tc>
          <w:tcPr>
            <w:tcW w:w="1318" w:type="dxa"/>
            <w:tcBorders>
              <w:top w:val="single" w:sz="2" w:space="0" w:color="231F20"/>
              <w:bottom w:val="single" w:sz="2" w:space="0" w:color="231F20"/>
            </w:tcBorders>
          </w:tcPr>
          <w:p>
            <w:pPr>
              <w:pStyle w:val="TableParagraph"/>
              <w:ind w:right="70"/>
              <w:jc w:val="right"/>
              <w:rPr>
                <w:sz w:val="20"/>
              </w:rPr>
            </w:pPr>
            <w:r>
              <w:rPr>
                <w:color w:val="231F20"/>
                <w:sz w:val="20"/>
              </w:rPr>
              <w:t>0,681</w:t>
            </w: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0"/>
              <w:rPr>
                <w:sz w:val="18"/>
              </w:rPr>
            </w:pP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0,717</w:t>
            </w:r>
          </w:p>
        </w:tc>
      </w:tr>
      <w:tr>
        <w:trPr>
          <w:trHeight w:val="303" w:hRule="atLeast"/>
        </w:trPr>
        <w:tc>
          <w:tcPr>
            <w:tcW w:w="2098" w:type="dxa"/>
            <w:tcBorders>
              <w:top w:val="single" w:sz="2" w:space="0" w:color="231F20"/>
              <w:bottom w:val="single" w:sz="2" w:space="0" w:color="231F20"/>
            </w:tcBorders>
          </w:tcPr>
          <w:p>
            <w:pPr>
              <w:pStyle w:val="TableParagraph"/>
              <w:ind w:left="79"/>
              <w:rPr>
                <w:b/>
                <w:sz w:val="20"/>
              </w:rPr>
            </w:pPr>
            <w:r>
              <w:rPr>
                <w:b/>
                <w:color w:val="231F20"/>
                <w:sz w:val="20"/>
              </w:rPr>
              <w:t>Y19</w:t>
            </w:r>
          </w:p>
        </w:tc>
        <w:tc>
          <w:tcPr>
            <w:tcW w:w="1318" w:type="dxa"/>
            <w:tcBorders>
              <w:top w:val="single" w:sz="2" w:space="0" w:color="231F20"/>
              <w:bottom w:val="single" w:sz="2" w:space="0" w:color="231F20"/>
            </w:tcBorders>
          </w:tcPr>
          <w:p>
            <w:pPr>
              <w:pStyle w:val="TableParagraph"/>
              <w:ind w:right="70"/>
              <w:jc w:val="right"/>
              <w:rPr>
                <w:sz w:val="20"/>
              </w:rPr>
            </w:pPr>
            <w:r>
              <w:rPr>
                <w:color w:val="231F20"/>
                <w:sz w:val="20"/>
              </w:rPr>
              <w:t>0,603</w:t>
            </w: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0"/>
              <w:rPr>
                <w:sz w:val="18"/>
              </w:rPr>
            </w:pP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0,668</w:t>
            </w:r>
          </w:p>
        </w:tc>
      </w:tr>
      <w:tr>
        <w:trPr>
          <w:trHeight w:val="303" w:hRule="atLeast"/>
        </w:trPr>
        <w:tc>
          <w:tcPr>
            <w:tcW w:w="2098" w:type="dxa"/>
            <w:tcBorders>
              <w:top w:val="single" w:sz="2" w:space="0" w:color="231F20"/>
              <w:bottom w:val="single" w:sz="2" w:space="0" w:color="231F20"/>
            </w:tcBorders>
          </w:tcPr>
          <w:p>
            <w:pPr>
              <w:pStyle w:val="TableParagraph"/>
              <w:ind w:left="80"/>
              <w:rPr>
                <w:b/>
                <w:sz w:val="20"/>
              </w:rPr>
            </w:pPr>
            <w:r>
              <w:rPr>
                <w:b/>
                <w:color w:val="231F20"/>
                <w:sz w:val="20"/>
              </w:rPr>
              <w:t>P1</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ind w:left="464"/>
              <w:rPr>
                <w:sz w:val="20"/>
              </w:rPr>
            </w:pPr>
            <w:r>
              <w:rPr>
                <w:color w:val="231F20"/>
                <w:sz w:val="20"/>
              </w:rPr>
              <w:t>0,771</w:t>
            </w: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0,698</w:t>
            </w:r>
          </w:p>
        </w:tc>
      </w:tr>
      <w:tr>
        <w:trPr>
          <w:trHeight w:val="303" w:hRule="atLeast"/>
        </w:trPr>
        <w:tc>
          <w:tcPr>
            <w:tcW w:w="2098" w:type="dxa"/>
            <w:tcBorders>
              <w:top w:val="single" w:sz="2" w:space="0" w:color="231F20"/>
              <w:bottom w:val="single" w:sz="2" w:space="0" w:color="231F20"/>
            </w:tcBorders>
          </w:tcPr>
          <w:p>
            <w:pPr>
              <w:pStyle w:val="TableParagraph"/>
              <w:ind w:left="80"/>
              <w:rPr>
                <w:b/>
                <w:sz w:val="20"/>
              </w:rPr>
            </w:pPr>
            <w:r>
              <w:rPr>
                <w:b/>
                <w:color w:val="231F20"/>
                <w:sz w:val="20"/>
              </w:rPr>
              <w:t>P2</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ind w:left="464"/>
              <w:rPr>
                <w:sz w:val="20"/>
              </w:rPr>
            </w:pPr>
            <w:r>
              <w:rPr>
                <w:color w:val="231F20"/>
                <w:sz w:val="20"/>
              </w:rPr>
              <w:t>0,826</w:t>
            </w: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0,681</w:t>
            </w:r>
          </w:p>
        </w:tc>
      </w:tr>
      <w:tr>
        <w:trPr>
          <w:trHeight w:val="303" w:hRule="atLeast"/>
        </w:trPr>
        <w:tc>
          <w:tcPr>
            <w:tcW w:w="2098" w:type="dxa"/>
            <w:tcBorders>
              <w:top w:val="single" w:sz="2" w:space="0" w:color="231F20"/>
              <w:bottom w:val="single" w:sz="2" w:space="0" w:color="231F20"/>
            </w:tcBorders>
          </w:tcPr>
          <w:p>
            <w:pPr>
              <w:pStyle w:val="TableParagraph"/>
              <w:ind w:left="80"/>
              <w:rPr>
                <w:b/>
                <w:sz w:val="20"/>
              </w:rPr>
            </w:pPr>
            <w:r>
              <w:rPr>
                <w:b/>
                <w:color w:val="231F20"/>
                <w:sz w:val="20"/>
              </w:rPr>
              <w:t>P3</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ind w:left="464"/>
              <w:rPr>
                <w:sz w:val="20"/>
              </w:rPr>
            </w:pPr>
            <w:r>
              <w:rPr>
                <w:color w:val="231F20"/>
                <w:sz w:val="20"/>
              </w:rPr>
              <w:t>0,798</w:t>
            </w: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0,686</w:t>
            </w:r>
          </w:p>
        </w:tc>
      </w:tr>
      <w:tr>
        <w:trPr>
          <w:trHeight w:val="303" w:hRule="atLeast"/>
        </w:trPr>
        <w:tc>
          <w:tcPr>
            <w:tcW w:w="2098" w:type="dxa"/>
            <w:tcBorders>
              <w:top w:val="single" w:sz="2" w:space="0" w:color="231F20"/>
              <w:bottom w:val="single" w:sz="2" w:space="0" w:color="231F20"/>
            </w:tcBorders>
          </w:tcPr>
          <w:p>
            <w:pPr>
              <w:pStyle w:val="TableParagraph"/>
              <w:ind w:left="80"/>
              <w:rPr>
                <w:b/>
                <w:sz w:val="20"/>
              </w:rPr>
            </w:pPr>
            <w:r>
              <w:rPr>
                <w:b/>
                <w:color w:val="231F20"/>
                <w:sz w:val="20"/>
              </w:rPr>
              <w:t>P4</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ind w:left="464"/>
              <w:rPr>
                <w:sz w:val="20"/>
              </w:rPr>
            </w:pPr>
            <w:r>
              <w:rPr>
                <w:color w:val="231F20"/>
                <w:sz w:val="20"/>
              </w:rPr>
              <w:t>0,725</w:t>
            </w: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0,692</w:t>
            </w:r>
          </w:p>
        </w:tc>
      </w:tr>
      <w:tr>
        <w:trPr>
          <w:trHeight w:val="303" w:hRule="atLeast"/>
        </w:trPr>
        <w:tc>
          <w:tcPr>
            <w:tcW w:w="2098" w:type="dxa"/>
            <w:tcBorders>
              <w:top w:val="single" w:sz="2" w:space="0" w:color="231F20"/>
              <w:bottom w:val="single" w:sz="2" w:space="0" w:color="231F20"/>
            </w:tcBorders>
          </w:tcPr>
          <w:p>
            <w:pPr>
              <w:pStyle w:val="TableParagraph"/>
              <w:ind w:left="80"/>
              <w:rPr>
                <w:b/>
                <w:sz w:val="20"/>
              </w:rPr>
            </w:pPr>
            <w:r>
              <w:rPr>
                <w:b/>
                <w:color w:val="231F20"/>
                <w:sz w:val="20"/>
              </w:rPr>
              <w:t>P5</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ind w:left="464"/>
              <w:rPr>
                <w:sz w:val="20"/>
              </w:rPr>
            </w:pPr>
            <w:r>
              <w:rPr>
                <w:color w:val="231F20"/>
                <w:sz w:val="20"/>
              </w:rPr>
              <w:t>0,750</w:t>
            </w: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0,695</w:t>
            </w:r>
          </w:p>
        </w:tc>
      </w:tr>
      <w:tr>
        <w:trPr>
          <w:trHeight w:val="303" w:hRule="atLeast"/>
        </w:trPr>
        <w:tc>
          <w:tcPr>
            <w:tcW w:w="2098" w:type="dxa"/>
            <w:tcBorders>
              <w:top w:val="single" w:sz="2" w:space="0" w:color="231F20"/>
              <w:bottom w:val="single" w:sz="2" w:space="0" w:color="231F20"/>
            </w:tcBorders>
          </w:tcPr>
          <w:p>
            <w:pPr>
              <w:pStyle w:val="TableParagraph"/>
              <w:ind w:left="80"/>
              <w:rPr>
                <w:b/>
                <w:sz w:val="20"/>
              </w:rPr>
            </w:pPr>
            <w:r>
              <w:rPr>
                <w:b/>
                <w:color w:val="231F20"/>
                <w:sz w:val="20"/>
              </w:rPr>
              <w:t>P6</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ind w:left="464"/>
              <w:rPr>
                <w:sz w:val="20"/>
              </w:rPr>
            </w:pPr>
            <w:r>
              <w:rPr>
                <w:color w:val="231F20"/>
                <w:sz w:val="20"/>
              </w:rPr>
              <w:t>0,608</w:t>
            </w:r>
          </w:p>
        </w:tc>
        <w:tc>
          <w:tcPr>
            <w:tcW w:w="1530" w:type="dxa"/>
            <w:tcBorders>
              <w:top w:val="single" w:sz="2" w:space="0" w:color="231F20"/>
              <w:bottom w:val="single" w:sz="2" w:space="0" w:color="231F20"/>
            </w:tcBorders>
          </w:tcPr>
          <w:p>
            <w:pPr>
              <w:pStyle w:val="TableParagraph"/>
              <w:ind w:right="453"/>
              <w:jc w:val="right"/>
              <w:rPr>
                <w:sz w:val="20"/>
              </w:rPr>
            </w:pPr>
            <w:r>
              <w:rPr>
                <w:color w:val="231F20"/>
                <w:sz w:val="20"/>
              </w:rPr>
              <w:t>0,719</w:t>
            </w:r>
          </w:p>
        </w:tc>
      </w:tr>
      <w:tr>
        <w:trPr>
          <w:trHeight w:val="303" w:hRule="atLeast"/>
        </w:trPr>
        <w:tc>
          <w:tcPr>
            <w:tcW w:w="2098" w:type="dxa"/>
            <w:tcBorders>
              <w:top w:val="single" w:sz="2" w:space="0" w:color="231F20"/>
              <w:bottom w:val="single" w:sz="2" w:space="0" w:color="231F20"/>
            </w:tcBorders>
          </w:tcPr>
          <w:p>
            <w:pPr>
              <w:pStyle w:val="TableParagraph"/>
              <w:spacing w:before="41"/>
              <w:ind w:left="80"/>
              <w:rPr>
                <w:b/>
                <w:sz w:val="20"/>
              </w:rPr>
            </w:pPr>
            <w:r>
              <w:rPr>
                <w:b/>
                <w:color w:val="231F20"/>
                <w:sz w:val="20"/>
              </w:rPr>
              <w:t>P7</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41"/>
              <w:ind w:left="464"/>
              <w:rPr>
                <w:sz w:val="20"/>
              </w:rPr>
            </w:pPr>
            <w:r>
              <w:rPr>
                <w:color w:val="231F20"/>
                <w:sz w:val="20"/>
              </w:rPr>
              <w:t>0,474</w:t>
            </w:r>
          </w:p>
        </w:tc>
        <w:tc>
          <w:tcPr>
            <w:tcW w:w="1530" w:type="dxa"/>
            <w:tcBorders>
              <w:top w:val="single" w:sz="2" w:space="0" w:color="231F20"/>
              <w:bottom w:val="single" w:sz="2" w:space="0" w:color="231F20"/>
            </w:tcBorders>
          </w:tcPr>
          <w:p>
            <w:pPr>
              <w:pStyle w:val="TableParagraph"/>
              <w:spacing w:before="41"/>
              <w:ind w:right="453"/>
              <w:jc w:val="right"/>
              <w:rPr>
                <w:sz w:val="20"/>
              </w:rPr>
            </w:pPr>
            <w:r>
              <w:rPr>
                <w:color w:val="231F20"/>
                <w:sz w:val="20"/>
              </w:rPr>
              <w:t>0,674</w:t>
            </w:r>
          </w:p>
        </w:tc>
      </w:tr>
      <w:tr>
        <w:trPr>
          <w:trHeight w:val="303" w:hRule="atLeast"/>
        </w:trPr>
        <w:tc>
          <w:tcPr>
            <w:tcW w:w="2098" w:type="dxa"/>
            <w:tcBorders>
              <w:top w:val="single" w:sz="2" w:space="0" w:color="231F20"/>
              <w:bottom w:val="single" w:sz="2" w:space="0" w:color="231F20"/>
            </w:tcBorders>
          </w:tcPr>
          <w:p>
            <w:pPr>
              <w:pStyle w:val="TableParagraph"/>
              <w:spacing w:before="41"/>
              <w:ind w:left="80"/>
              <w:rPr>
                <w:b/>
                <w:sz w:val="20"/>
              </w:rPr>
            </w:pPr>
            <w:r>
              <w:rPr>
                <w:b/>
                <w:color w:val="231F20"/>
                <w:sz w:val="20"/>
              </w:rPr>
              <w:t>P8</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41"/>
              <w:ind w:left="464"/>
              <w:rPr>
                <w:sz w:val="20"/>
              </w:rPr>
            </w:pPr>
            <w:r>
              <w:rPr>
                <w:color w:val="231F20"/>
                <w:sz w:val="20"/>
              </w:rPr>
              <w:t>0,463</w:t>
            </w:r>
          </w:p>
        </w:tc>
        <w:tc>
          <w:tcPr>
            <w:tcW w:w="1530" w:type="dxa"/>
            <w:tcBorders>
              <w:top w:val="single" w:sz="2" w:space="0" w:color="231F20"/>
              <w:bottom w:val="single" w:sz="2" w:space="0" w:color="231F20"/>
            </w:tcBorders>
          </w:tcPr>
          <w:p>
            <w:pPr>
              <w:pStyle w:val="TableParagraph"/>
              <w:spacing w:before="41"/>
              <w:ind w:right="453"/>
              <w:jc w:val="right"/>
              <w:rPr>
                <w:sz w:val="20"/>
              </w:rPr>
            </w:pPr>
            <w:r>
              <w:rPr>
                <w:color w:val="231F20"/>
                <w:sz w:val="20"/>
              </w:rPr>
              <w:t>0,692</w:t>
            </w:r>
          </w:p>
        </w:tc>
      </w:tr>
      <w:tr>
        <w:trPr>
          <w:trHeight w:val="303" w:hRule="atLeast"/>
        </w:trPr>
        <w:tc>
          <w:tcPr>
            <w:tcW w:w="2098" w:type="dxa"/>
            <w:tcBorders>
              <w:top w:val="single" w:sz="2" w:space="0" w:color="231F20"/>
              <w:bottom w:val="single" w:sz="2" w:space="0" w:color="231F20"/>
            </w:tcBorders>
          </w:tcPr>
          <w:p>
            <w:pPr>
              <w:pStyle w:val="TableParagraph"/>
              <w:spacing w:before="41"/>
              <w:ind w:left="80"/>
              <w:rPr>
                <w:b/>
                <w:sz w:val="20"/>
              </w:rPr>
            </w:pPr>
            <w:r>
              <w:rPr>
                <w:b/>
                <w:color w:val="231F20"/>
                <w:sz w:val="20"/>
              </w:rPr>
              <w:t>P9</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41"/>
              <w:ind w:left="464"/>
              <w:rPr>
                <w:sz w:val="20"/>
              </w:rPr>
            </w:pPr>
            <w:r>
              <w:rPr>
                <w:color w:val="231F20"/>
                <w:sz w:val="20"/>
              </w:rPr>
              <w:t>0,437</w:t>
            </w:r>
          </w:p>
        </w:tc>
        <w:tc>
          <w:tcPr>
            <w:tcW w:w="1530" w:type="dxa"/>
            <w:tcBorders>
              <w:top w:val="single" w:sz="2" w:space="0" w:color="231F20"/>
              <w:bottom w:val="single" w:sz="2" w:space="0" w:color="231F20"/>
            </w:tcBorders>
          </w:tcPr>
          <w:p>
            <w:pPr>
              <w:pStyle w:val="TableParagraph"/>
              <w:spacing w:before="41"/>
              <w:ind w:right="453"/>
              <w:jc w:val="right"/>
              <w:rPr>
                <w:sz w:val="20"/>
              </w:rPr>
            </w:pPr>
            <w:r>
              <w:rPr>
                <w:color w:val="231F20"/>
                <w:sz w:val="20"/>
              </w:rPr>
              <w:t>0,673</w:t>
            </w:r>
          </w:p>
        </w:tc>
      </w:tr>
      <w:tr>
        <w:trPr>
          <w:trHeight w:val="303" w:hRule="atLeast"/>
        </w:trPr>
        <w:tc>
          <w:tcPr>
            <w:tcW w:w="2098" w:type="dxa"/>
            <w:tcBorders>
              <w:top w:val="single" w:sz="2" w:space="0" w:color="231F20"/>
              <w:bottom w:val="single" w:sz="2" w:space="0" w:color="231F20"/>
            </w:tcBorders>
          </w:tcPr>
          <w:p>
            <w:pPr>
              <w:pStyle w:val="TableParagraph"/>
              <w:spacing w:before="41"/>
              <w:ind w:left="80"/>
              <w:rPr>
                <w:b/>
                <w:sz w:val="20"/>
              </w:rPr>
            </w:pPr>
            <w:r>
              <w:rPr>
                <w:b/>
                <w:color w:val="231F20"/>
                <w:sz w:val="20"/>
              </w:rPr>
              <w:t>P10</w:t>
            </w: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41"/>
              <w:ind w:left="464"/>
              <w:rPr>
                <w:sz w:val="20"/>
              </w:rPr>
            </w:pPr>
            <w:r>
              <w:rPr>
                <w:color w:val="231F20"/>
                <w:sz w:val="20"/>
              </w:rPr>
              <w:t>0,468</w:t>
            </w:r>
          </w:p>
        </w:tc>
        <w:tc>
          <w:tcPr>
            <w:tcW w:w="1530" w:type="dxa"/>
            <w:tcBorders>
              <w:top w:val="single" w:sz="2" w:space="0" w:color="231F20"/>
              <w:bottom w:val="single" w:sz="2" w:space="0" w:color="231F20"/>
            </w:tcBorders>
          </w:tcPr>
          <w:p>
            <w:pPr>
              <w:pStyle w:val="TableParagraph"/>
              <w:spacing w:before="41"/>
              <w:ind w:right="453"/>
              <w:jc w:val="right"/>
              <w:rPr>
                <w:sz w:val="20"/>
              </w:rPr>
            </w:pPr>
            <w:r>
              <w:rPr>
                <w:color w:val="231F20"/>
                <w:sz w:val="20"/>
              </w:rPr>
              <w:t>0,637</w:t>
            </w:r>
          </w:p>
        </w:tc>
      </w:tr>
      <w:tr>
        <w:trPr>
          <w:trHeight w:val="303" w:hRule="atLeast"/>
        </w:trPr>
        <w:tc>
          <w:tcPr>
            <w:tcW w:w="2098" w:type="dxa"/>
            <w:tcBorders>
              <w:top w:val="single" w:sz="2" w:space="0" w:color="231F20"/>
              <w:bottom w:val="single" w:sz="2" w:space="0" w:color="231F20"/>
            </w:tcBorders>
          </w:tcPr>
          <w:p>
            <w:pPr>
              <w:pStyle w:val="TableParagraph"/>
              <w:spacing w:before="41"/>
              <w:ind w:left="80"/>
              <w:rPr>
                <w:b/>
                <w:sz w:val="20"/>
              </w:rPr>
            </w:pPr>
            <w:r>
              <w:rPr>
                <w:b/>
                <w:color w:val="231F20"/>
                <w:sz w:val="20"/>
              </w:rPr>
              <w:t>Öz Değer (Λ)</w:t>
            </w:r>
          </w:p>
        </w:tc>
        <w:tc>
          <w:tcPr>
            <w:tcW w:w="1318" w:type="dxa"/>
            <w:tcBorders>
              <w:top w:val="single" w:sz="2" w:space="0" w:color="231F20"/>
              <w:bottom w:val="single" w:sz="2" w:space="0" w:color="231F20"/>
            </w:tcBorders>
          </w:tcPr>
          <w:p>
            <w:pPr>
              <w:pStyle w:val="TableParagraph"/>
              <w:spacing w:before="41"/>
              <w:ind w:right="20"/>
              <w:jc w:val="right"/>
              <w:rPr>
                <w:b/>
                <w:sz w:val="20"/>
              </w:rPr>
            </w:pPr>
            <w:r>
              <w:rPr>
                <w:b/>
                <w:color w:val="231F20"/>
                <w:sz w:val="20"/>
              </w:rPr>
              <w:t>15,244</w:t>
            </w:r>
          </w:p>
        </w:tc>
        <w:tc>
          <w:tcPr>
            <w:tcW w:w="1054" w:type="dxa"/>
            <w:tcBorders>
              <w:top w:val="single" w:sz="2" w:space="0" w:color="231F20"/>
              <w:bottom w:val="single" w:sz="2" w:space="0" w:color="231F20"/>
            </w:tcBorders>
          </w:tcPr>
          <w:p>
            <w:pPr>
              <w:pStyle w:val="TableParagraph"/>
              <w:spacing w:before="0"/>
              <w:rPr>
                <w:sz w:val="18"/>
              </w:rPr>
            </w:pPr>
          </w:p>
        </w:tc>
        <w:tc>
          <w:tcPr>
            <w:tcW w:w="1541" w:type="dxa"/>
            <w:tcBorders>
              <w:top w:val="single" w:sz="2" w:space="0" w:color="231F20"/>
              <w:bottom w:val="single" w:sz="2" w:space="0" w:color="231F20"/>
            </w:tcBorders>
          </w:tcPr>
          <w:p>
            <w:pPr>
              <w:pStyle w:val="TableParagraph"/>
              <w:spacing w:before="41"/>
              <w:ind w:left="464"/>
              <w:rPr>
                <w:b/>
                <w:sz w:val="20"/>
              </w:rPr>
            </w:pPr>
            <w:r>
              <w:rPr>
                <w:b/>
                <w:color w:val="231F20"/>
                <w:sz w:val="20"/>
              </w:rPr>
              <w:t>1,086</w:t>
            </w:r>
          </w:p>
        </w:tc>
        <w:tc>
          <w:tcPr>
            <w:tcW w:w="1530"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2098" w:type="dxa"/>
            <w:tcBorders>
              <w:top w:val="single" w:sz="2" w:space="0" w:color="231F20"/>
            </w:tcBorders>
          </w:tcPr>
          <w:p>
            <w:pPr>
              <w:pStyle w:val="TableParagraph"/>
              <w:spacing w:before="0"/>
              <w:rPr>
                <w:sz w:val="18"/>
              </w:rPr>
            </w:pP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41"/>
              <w:ind w:right="464"/>
              <w:jc w:val="right"/>
              <w:rPr>
                <w:b/>
                <w:sz w:val="20"/>
              </w:rPr>
            </w:pPr>
            <w:r>
              <w:rPr>
                <w:b/>
                <w:color w:val="231F20"/>
                <w:sz w:val="20"/>
              </w:rPr>
              <w:t>0,962</w:t>
            </w:r>
          </w:p>
        </w:tc>
        <w:tc>
          <w:tcPr>
            <w:tcW w:w="1541" w:type="dxa"/>
            <w:tcBorders>
              <w:top w:val="single" w:sz="2" w:space="0" w:color="231F20"/>
              <w:bottom w:val="single" w:sz="2" w:space="0" w:color="231F20"/>
            </w:tcBorders>
          </w:tcPr>
          <w:p>
            <w:pPr>
              <w:pStyle w:val="TableParagraph"/>
              <w:spacing w:before="41"/>
              <w:ind w:left="465"/>
              <w:rPr>
                <w:b/>
                <w:sz w:val="20"/>
              </w:rPr>
            </w:pPr>
            <w:r>
              <w:rPr>
                <w:b/>
                <w:color w:val="231F20"/>
                <w:sz w:val="20"/>
              </w:rPr>
              <w:t>0,914</w:t>
            </w:r>
          </w:p>
        </w:tc>
        <w:tc>
          <w:tcPr>
            <w:tcW w:w="1530"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2098" w:type="dxa"/>
          </w:tcPr>
          <w:p>
            <w:pPr>
              <w:pStyle w:val="TableParagraph"/>
              <w:spacing w:before="41"/>
              <w:ind w:left="80"/>
              <w:rPr>
                <w:b/>
                <w:sz w:val="20"/>
              </w:rPr>
            </w:pPr>
            <w:r>
              <w:rPr>
                <w:b/>
                <w:color w:val="231F20"/>
                <w:sz w:val="20"/>
              </w:rPr>
              <w:t>Güvenirlik(α)</w:t>
            </w:r>
          </w:p>
        </w:tc>
        <w:tc>
          <w:tcPr>
            <w:tcW w:w="1318" w:type="dxa"/>
            <w:tcBorders>
              <w:top w:val="single" w:sz="2" w:space="0" w:color="231F20"/>
              <w:bottom w:val="single" w:sz="2" w:space="0" w:color="231F20"/>
            </w:tcBorders>
          </w:tcPr>
          <w:p>
            <w:pPr>
              <w:pStyle w:val="TableParagraph"/>
              <w:spacing w:before="41"/>
              <w:ind w:right="27"/>
              <w:jc w:val="right"/>
              <w:rPr>
                <w:b/>
                <w:sz w:val="20"/>
              </w:rPr>
            </w:pPr>
            <w:r>
              <w:rPr>
                <w:b/>
                <w:color w:val="231F20"/>
                <w:sz w:val="20"/>
              </w:rPr>
              <w:t>Genel ölçek α</w:t>
            </w:r>
          </w:p>
        </w:tc>
        <w:tc>
          <w:tcPr>
            <w:tcW w:w="1054" w:type="dxa"/>
            <w:tcBorders>
              <w:top w:val="single" w:sz="2" w:space="0" w:color="231F20"/>
              <w:bottom w:val="single" w:sz="2" w:space="0" w:color="231F20"/>
            </w:tcBorders>
          </w:tcPr>
          <w:p>
            <w:pPr>
              <w:pStyle w:val="TableParagraph"/>
              <w:spacing w:before="41"/>
              <w:ind w:right="464"/>
              <w:jc w:val="right"/>
              <w:rPr>
                <w:b/>
                <w:sz w:val="20"/>
              </w:rPr>
            </w:pPr>
            <w:r>
              <w:rPr>
                <w:b/>
                <w:color w:val="231F20"/>
                <w:sz w:val="20"/>
              </w:rPr>
              <w:t>: 0,969</w:t>
            </w:r>
          </w:p>
        </w:tc>
        <w:tc>
          <w:tcPr>
            <w:tcW w:w="1541" w:type="dxa"/>
            <w:tcBorders>
              <w:top w:val="single" w:sz="2" w:space="0" w:color="231F20"/>
              <w:bottom w:val="single" w:sz="2" w:space="0" w:color="231F20"/>
            </w:tcBorders>
          </w:tcPr>
          <w:p>
            <w:pPr>
              <w:pStyle w:val="TableParagraph"/>
              <w:spacing w:before="0"/>
              <w:rPr>
                <w:sz w:val="18"/>
              </w:rPr>
            </w:pPr>
          </w:p>
        </w:tc>
        <w:tc>
          <w:tcPr>
            <w:tcW w:w="1530"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2098" w:type="dxa"/>
            <w:tcBorders>
              <w:bottom w:val="single" w:sz="2" w:space="0" w:color="231F20"/>
            </w:tcBorders>
          </w:tcPr>
          <w:p>
            <w:pPr>
              <w:pStyle w:val="TableParagraph"/>
              <w:spacing w:before="0"/>
              <w:rPr>
                <w:sz w:val="18"/>
              </w:rPr>
            </w:pPr>
          </w:p>
        </w:tc>
        <w:tc>
          <w:tcPr>
            <w:tcW w:w="1318" w:type="dxa"/>
            <w:tcBorders>
              <w:top w:val="single" w:sz="2" w:space="0" w:color="231F20"/>
              <w:bottom w:val="single" w:sz="2" w:space="0" w:color="231F20"/>
            </w:tcBorders>
          </w:tcPr>
          <w:p>
            <w:pPr>
              <w:pStyle w:val="TableParagraph"/>
              <w:spacing w:before="0"/>
              <w:rPr>
                <w:sz w:val="18"/>
              </w:rPr>
            </w:pPr>
          </w:p>
        </w:tc>
        <w:tc>
          <w:tcPr>
            <w:tcW w:w="1054" w:type="dxa"/>
            <w:tcBorders>
              <w:top w:val="single" w:sz="2" w:space="0" w:color="231F20"/>
              <w:bottom w:val="single" w:sz="2" w:space="0" w:color="231F20"/>
            </w:tcBorders>
          </w:tcPr>
          <w:p>
            <w:pPr>
              <w:pStyle w:val="TableParagraph"/>
              <w:spacing w:before="41"/>
              <w:ind w:right="464"/>
              <w:jc w:val="right"/>
              <w:rPr>
                <w:b/>
                <w:sz w:val="20"/>
              </w:rPr>
            </w:pPr>
            <w:r>
              <w:rPr>
                <w:b/>
                <w:color w:val="231F20"/>
                <w:sz w:val="20"/>
              </w:rPr>
              <w:t>52,566</w:t>
            </w:r>
          </w:p>
        </w:tc>
        <w:tc>
          <w:tcPr>
            <w:tcW w:w="1541" w:type="dxa"/>
            <w:tcBorders>
              <w:top w:val="single" w:sz="2" w:space="0" w:color="231F20"/>
              <w:bottom w:val="single" w:sz="2" w:space="0" w:color="231F20"/>
            </w:tcBorders>
          </w:tcPr>
          <w:p>
            <w:pPr>
              <w:pStyle w:val="TableParagraph"/>
              <w:spacing w:before="41"/>
              <w:ind w:left="465"/>
              <w:rPr>
                <w:b/>
                <w:sz w:val="20"/>
              </w:rPr>
            </w:pPr>
            <w:r>
              <w:rPr>
                <w:b/>
                <w:color w:val="231F20"/>
                <w:sz w:val="20"/>
              </w:rPr>
              <w:t>3,746</w:t>
            </w:r>
          </w:p>
        </w:tc>
        <w:tc>
          <w:tcPr>
            <w:tcW w:w="1530" w:type="dxa"/>
            <w:tcBorders>
              <w:top w:val="single" w:sz="2" w:space="0" w:color="231F20"/>
              <w:bottom w:val="single" w:sz="2" w:space="0" w:color="231F20"/>
            </w:tcBorders>
          </w:tcPr>
          <w:p>
            <w:pPr>
              <w:pStyle w:val="TableParagraph"/>
              <w:spacing w:before="0"/>
              <w:rPr>
                <w:sz w:val="18"/>
              </w:rPr>
            </w:pPr>
          </w:p>
        </w:tc>
      </w:tr>
    </w:tbl>
    <w:p>
      <w:pPr>
        <w:tabs>
          <w:tab w:pos="2888" w:val="left" w:leader="none"/>
        </w:tabs>
        <w:spacing w:line="321" w:lineRule="auto" w:before="38"/>
        <w:ind w:left="332" w:right="1669" w:firstLine="0"/>
        <w:jc w:val="left"/>
        <w:rPr>
          <w:b/>
          <w:sz w:val="20"/>
        </w:rPr>
      </w:pPr>
      <w:r>
        <w:rPr/>
        <w:pict>
          <v:group style="position:absolute;margin-left:49.6063pt;margin-top:15.032948pt;width:377.05pt;height:.25pt;mso-position-horizontal-relative:page;mso-position-vertical-relative:paragraph;z-index:-17103360" coordorigin="992,301" coordsize="7541,5">
            <v:line style="position:absolute" from="992,303" to="3090,303" stroked="true" strokeweight=".25pt" strokecolor="#231f20">
              <v:stroke dashstyle="solid"/>
            </v:line>
            <v:line style="position:absolute" from="3090,303" to="5131,303" stroked="true" strokeweight=".25pt" strokecolor="#231f20">
              <v:stroke dashstyle="solid"/>
            </v:line>
            <v:line style="position:absolute" from="5131,303" to="7172,303" stroked="true" strokeweight=".25pt" strokecolor="#231f20">
              <v:stroke dashstyle="solid"/>
            </v:line>
            <v:line style="position:absolute" from="7172,303" to="8532,303" stroked="true" strokeweight=".25pt" strokecolor="#231f20">
              <v:stroke dashstyle="solid"/>
            </v:line>
            <w10:wrap type="none"/>
          </v:group>
        </w:pict>
      </w:r>
      <w:r>
        <w:rPr/>
        <w:pict>
          <v:group style="position:absolute;margin-left:49.6063pt;margin-top:30.344948pt;width:377.05pt;height:.5pt;mso-position-horizontal-relative:page;mso-position-vertical-relative:paragraph;z-index:-17102848" coordorigin="992,607" coordsize="7541,10">
            <v:line style="position:absolute" from="992,612" to="3090,612" stroked="true" strokeweight=".5pt" strokecolor="#231f20">
              <v:stroke dashstyle="solid"/>
            </v:line>
            <v:line style="position:absolute" from="3090,612" to="5131,612" stroked="true" strokeweight=".5pt" strokecolor="#231f20">
              <v:stroke dashstyle="solid"/>
            </v:line>
            <v:line style="position:absolute" from="5131,612" to="7172,612" stroked="true" strokeweight=".5pt" strokecolor="#231f20">
              <v:stroke dashstyle="solid"/>
            </v:line>
            <v:line style="position:absolute" from="7172,612" to="8532,612" stroked="true" strokeweight=".5pt" strokecolor="#231f20">
              <v:stroke dashstyle="solid"/>
            </v:line>
            <w10:wrap type="none"/>
          </v:group>
        </w:pict>
      </w:r>
      <w:r>
        <w:rPr>
          <w:b/>
          <w:color w:val="231F20"/>
          <w:sz w:val="20"/>
        </w:rPr>
        <w:t>Açıklanan</w:t>
      </w:r>
      <w:r>
        <w:rPr>
          <w:b/>
          <w:color w:val="231F20"/>
          <w:spacing w:val="-6"/>
          <w:sz w:val="20"/>
        </w:rPr>
        <w:t> </w:t>
      </w:r>
      <w:r>
        <w:rPr>
          <w:b/>
          <w:color w:val="231F20"/>
          <w:spacing w:val="-3"/>
          <w:sz w:val="20"/>
        </w:rPr>
        <w:t>Varyans</w:t>
      </w:r>
      <w:r>
        <w:rPr>
          <w:b/>
          <w:color w:val="231F20"/>
          <w:spacing w:val="-1"/>
          <w:sz w:val="20"/>
        </w:rPr>
        <w:t> </w:t>
      </w:r>
      <w:r>
        <w:rPr>
          <w:b/>
          <w:color w:val="231F20"/>
          <w:sz w:val="20"/>
        </w:rPr>
        <w:t>(%)</w:t>
        <w:tab/>
        <w:t>Açıklanan genel varyans: 56, </w:t>
      </w:r>
      <w:r>
        <w:rPr>
          <w:b/>
          <w:color w:val="231F20"/>
          <w:spacing w:val="-3"/>
          <w:sz w:val="20"/>
        </w:rPr>
        <w:t>311% </w:t>
      </w:r>
      <w:r>
        <w:rPr>
          <w:b/>
          <w:color w:val="231F20"/>
          <w:sz w:val="20"/>
        </w:rPr>
        <w:t>KMO =0,977; Bartlett Küresellik </w:t>
      </w:r>
      <w:r>
        <w:rPr>
          <w:b/>
          <w:color w:val="231F20"/>
          <w:spacing w:val="-4"/>
          <w:sz w:val="20"/>
        </w:rPr>
        <w:t>Testi </w:t>
      </w:r>
      <w:r>
        <w:rPr>
          <w:b/>
          <w:color w:val="231F20"/>
          <w:sz w:val="20"/>
        </w:rPr>
        <w:t>χ2(406) =29824,7306 (p) =</w:t>
      </w:r>
      <w:r>
        <w:rPr>
          <w:b/>
          <w:color w:val="231F20"/>
          <w:spacing w:val="6"/>
          <w:sz w:val="20"/>
        </w:rPr>
        <w:t> </w:t>
      </w:r>
      <w:r>
        <w:rPr>
          <w:b/>
          <w:color w:val="231F20"/>
          <w:spacing w:val="-3"/>
          <w:sz w:val="20"/>
        </w:rPr>
        <w:t>0,000</w:t>
      </w:r>
    </w:p>
    <w:p>
      <w:pPr>
        <w:pStyle w:val="BodyText"/>
        <w:spacing w:before="1"/>
        <w:rPr>
          <w:b/>
          <w:sz w:val="24"/>
        </w:rPr>
      </w:pPr>
    </w:p>
    <w:p>
      <w:pPr>
        <w:pStyle w:val="ListParagraph"/>
        <w:numPr>
          <w:ilvl w:val="2"/>
          <w:numId w:val="1"/>
        </w:numPr>
        <w:tabs>
          <w:tab w:pos="754" w:val="left" w:leader="none"/>
        </w:tabs>
        <w:spacing w:line="249" w:lineRule="auto" w:before="0" w:after="0"/>
        <w:ind w:left="253" w:right="533" w:firstLine="0"/>
        <w:jc w:val="both"/>
        <w:rPr>
          <w:b/>
          <w:sz w:val="20"/>
        </w:rPr>
      </w:pPr>
      <w:r>
        <w:rPr>
          <w:b/>
          <w:color w:val="034694"/>
          <w:sz w:val="20"/>
        </w:rPr>
        <w:t>Doğrulayıcı Faktör Analizi ile Yapı Geçerliğinin Doğrulanması ve Güvenirliğin İncelenmesi</w:t>
      </w:r>
    </w:p>
    <w:p>
      <w:pPr>
        <w:pStyle w:val="BodyText"/>
        <w:spacing w:line="249" w:lineRule="auto" w:before="115"/>
        <w:ind w:left="253" w:right="248" w:firstLine="567"/>
        <w:jc w:val="both"/>
      </w:pPr>
      <w:r>
        <w:rPr>
          <w:color w:val="231F20"/>
        </w:rPr>
        <w:t>AFA sonucunda ortaya konulan yapının doğrulanıp doğrulanmadığını test etmek ama- cıyla</w:t>
      </w:r>
      <w:r>
        <w:rPr>
          <w:color w:val="231F20"/>
          <w:spacing w:val="-8"/>
        </w:rPr>
        <w:t> </w:t>
      </w:r>
      <w:r>
        <w:rPr>
          <w:color w:val="231F20"/>
        </w:rPr>
        <w:t>farklı</w:t>
      </w:r>
      <w:r>
        <w:rPr>
          <w:color w:val="231F20"/>
          <w:spacing w:val="-7"/>
        </w:rPr>
        <w:t> </w:t>
      </w:r>
      <w:r>
        <w:rPr>
          <w:color w:val="231F20"/>
        </w:rPr>
        <w:t>bir</w:t>
      </w:r>
      <w:r>
        <w:rPr>
          <w:color w:val="231F20"/>
          <w:spacing w:val="-7"/>
        </w:rPr>
        <w:t> </w:t>
      </w:r>
      <w:r>
        <w:rPr>
          <w:color w:val="231F20"/>
        </w:rPr>
        <w:t>örneklem</w:t>
      </w:r>
      <w:r>
        <w:rPr>
          <w:color w:val="231F20"/>
          <w:spacing w:val="-8"/>
        </w:rPr>
        <w:t> </w:t>
      </w:r>
      <w:r>
        <w:rPr>
          <w:color w:val="231F20"/>
        </w:rPr>
        <w:t>grubundan</w:t>
      </w:r>
      <w:r>
        <w:rPr>
          <w:color w:val="231F20"/>
          <w:spacing w:val="-7"/>
        </w:rPr>
        <w:t> </w:t>
      </w:r>
      <w:r>
        <w:rPr>
          <w:color w:val="231F20"/>
        </w:rPr>
        <w:t>toplanan</w:t>
      </w:r>
      <w:r>
        <w:rPr>
          <w:color w:val="231F20"/>
          <w:spacing w:val="-7"/>
        </w:rPr>
        <w:t> </w:t>
      </w:r>
      <w:r>
        <w:rPr>
          <w:color w:val="231F20"/>
        </w:rPr>
        <w:t>(n=3805)</w:t>
      </w:r>
      <w:r>
        <w:rPr>
          <w:color w:val="231F20"/>
          <w:spacing w:val="-8"/>
        </w:rPr>
        <w:t> </w:t>
      </w:r>
      <w:r>
        <w:rPr>
          <w:color w:val="231F20"/>
        </w:rPr>
        <w:t>ölçek</w:t>
      </w:r>
      <w:r>
        <w:rPr>
          <w:color w:val="231F20"/>
          <w:spacing w:val="-7"/>
        </w:rPr>
        <w:t> </w:t>
      </w:r>
      <w:r>
        <w:rPr>
          <w:color w:val="231F20"/>
        </w:rPr>
        <w:t>verilerine</w:t>
      </w:r>
      <w:r>
        <w:rPr>
          <w:color w:val="231F20"/>
          <w:spacing w:val="-7"/>
        </w:rPr>
        <w:t> </w:t>
      </w:r>
      <w:r>
        <w:rPr>
          <w:color w:val="231F20"/>
        </w:rPr>
        <w:t>Birinci</w:t>
      </w:r>
      <w:r>
        <w:rPr>
          <w:color w:val="231F20"/>
          <w:spacing w:val="-8"/>
        </w:rPr>
        <w:t> </w:t>
      </w:r>
      <w:r>
        <w:rPr>
          <w:color w:val="231F20"/>
        </w:rPr>
        <w:t>Düzey</w:t>
      </w:r>
      <w:r>
        <w:rPr>
          <w:color w:val="231F20"/>
          <w:spacing w:val="-7"/>
        </w:rPr>
        <w:t> </w:t>
      </w:r>
      <w:r>
        <w:rPr>
          <w:color w:val="231F20"/>
        </w:rPr>
        <w:t>ve</w:t>
      </w:r>
      <w:r>
        <w:rPr>
          <w:color w:val="231F20"/>
          <w:spacing w:val="-7"/>
        </w:rPr>
        <w:t> </w:t>
      </w:r>
      <w:r>
        <w:rPr>
          <w:color w:val="231F20"/>
        </w:rPr>
        <w:t>İkinci Düzey Çok Faktörlü Doğrulayıcı Faktör Analizleri</w:t>
      </w:r>
      <w:r>
        <w:rPr>
          <w:color w:val="231F20"/>
          <w:spacing w:val="-9"/>
        </w:rPr>
        <w:t> </w:t>
      </w:r>
      <w:r>
        <w:rPr>
          <w:color w:val="231F20"/>
        </w:rPr>
        <w:t>uygulanmıştır.</w:t>
      </w:r>
    </w:p>
    <w:p>
      <w:pPr>
        <w:pStyle w:val="BodyText"/>
        <w:spacing w:line="249" w:lineRule="auto" w:before="116"/>
        <w:ind w:left="253" w:right="247" w:firstLine="567"/>
        <w:jc w:val="both"/>
      </w:pPr>
      <w:r>
        <w:rPr>
          <w:color w:val="231F20"/>
        </w:rPr>
        <w:t>DFA örneklemine ilişkin çok değişkenli uç değerlerin tespit edilmesinde, mahalanobis uzaklık (16,27), cook’s (Cook’&lt;1) ve leverage values (,000 - ,020) değerleri incelenmiştir. Mahalonobis</w:t>
      </w:r>
      <w:r>
        <w:rPr>
          <w:color w:val="231F20"/>
          <w:spacing w:val="-5"/>
        </w:rPr>
        <w:t> </w:t>
      </w:r>
      <w:r>
        <w:rPr>
          <w:color w:val="231F20"/>
        </w:rPr>
        <w:t>uzaklık</w:t>
      </w:r>
      <w:r>
        <w:rPr>
          <w:color w:val="231F20"/>
          <w:spacing w:val="-5"/>
        </w:rPr>
        <w:t> </w:t>
      </w:r>
      <w:r>
        <w:rPr>
          <w:color w:val="231F20"/>
        </w:rPr>
        <w:t>değeri</w:t>
      </w:r>
      <w:r>
        <w:rPr>
          <w:color w:val="231F20"/>
          <w:spacing w:val="-5"/>
        </w:rPr>
        <w:t> </w:t>
      </w:r>
      <w:r>
        <w:rPr>
          <w:color w:val="231F20"/>
        </w:rPr>
        <w:t>üzerinde</w:t>
      </w:r>
      <w:r>
        <w:rPr>
          <w:color w:val="231F20"/>
          <w:spacing w:val="-4"/>
        </w:rPr>
        <w:t> </w:t>
      </w:r>
      <w:r>
        <w:rPr>
          <w:color w:val="231F20"/>
        </w:rPr>
        <w:t>27</w:t>
      </w:r>
      <w:r>
        <w:rPr>
          <w:color w:val="231F20"/>
          <w:spacing w:val="-5"/>
        </w:rPr>
        <w:t> </w:t>
      </w:r>
      <w:r>
        <w:rPr>
          <w:color w:val="231F20"/>
        </w:rPr>
        <w:t>veri</w:t>
      </w:r>
      <w:r>
        <w:rPr>
          <w:color w:val="231F20"/>
          <w:spacing w:val="-5"/>
        </w:rPr>
        <w:t> </w:t>
      </w:r>
      <w:r>
        <w:rPr>
          <w:color w:val="231F20"/>
        </w:rPr>
        <w:t>gözlenmiş,</w:t>
      </w:r>
      <w:r>
        <w:rPr>
          <w:color w:val="231F20"/>
          <w:spacing w:val="-5"/>
        </w:rPr>
        <w:t> </w:t>
      </w:r>
      <w:r>
        <w:rPr>
          <w:color w:val="231F20"/>
        </w:rPr>
        <w:t>ancak</w:t>
      </w:r>
      <w:r>
        <w:rPr>
          <w:color w:val="231F20"/>
          <w:spacing w:val="-4"/>
        </w:rPr>
        <w:t> </w:t>
      </w:r>
      <w:r>
        <w:rPr>
          <w:color w:val="231F20"/>
        </w:rPr>
        <w:t>bu</w:t>
      </w:r>
      <w:r>
        <w:rPr>
          <w:color w:val="231F20"/>
          <w:spacing w:val="-5"/>
        </w:rPr>
        <w:t> </w:t>
      </w:r>
      <w:r>
        <w:rPr>
          <w:color w:val="231F20"/>
        </w:rPr>
        <w:t>değerlerin</w:t>
      </w:r>
      <w:r>
        <w:rPr>
          <w:color w:val="231F20"/>
          <w:spacing w:val="-5"/>
        </w:rPr>
        <w:t> </w:t>
      </w:r>
      <w:r>
        <w:rPr>
          <w:color w:val="231F20"/>
        </w:rPr>
        <w:t>Cook’&lt;1</w:t>
      </w:r>
      <w:r>
        <w:rPr>
          <w:color w:val="231F20"/>
          <w:spacing w:val="-4"/>
        </w:rPr>
        <w:t> </w:t>
      </w:r>
      <w:r>
        <w:rPr>
          <w:color w:val="231F20"/>
        </w:rPr>
        <w:t>ve</w:t>
      </w:r>
      <w:r>
        <w:rPr>
          <w:color w:val="231F20"/>
          <w:spacing w:val="-5"/>
        </w:rPr>
        <w:t> </w:t>
      </w:r>
      <w:r>
        <w:rPr>
          <w:color w:val="231F20"/>
        </w:rPr>
        <w:t>leve- rage ,000 - ,020 arasında olması sebebiyle, analizden çıkartılmamasına karar verilmiştir. ,000 ile</w:t>
      </w:r>
      <w:r>
        <w:rPr>
          <w:color w:val="231F20"/>
          <w:spacing w:val="-12"/>
        </w:rPr>
        <w:t> </w:t>
      </w:r>
      <w:r>
        <w:rPr>
          <w:color w:val="231F20"/>
        </w:rPr>
        <w:t>,020</w:t>
      </w:r>
      <w:r>
        <w:rPr>
          <w:color w:val="231F20"/>
          <w:spacing w:val="-12"/>
        </w:rPr>
        <w:t> </w:t>
      </w:r>
      <w:r>
        <w:rPr>
          <w:color w:val="231F20"/>
        </w:rPr>
        <w:t>arasındaki</w:t>
      </w:r>
      <w:r>
        <w:rPr>
          <w:color w:val="231F20"/>
          <w:spacing w:val="-12"/>
        </w:rPr>
        <w:t> </w:t>
      </w:r>
      <w:r>
        <w:rPr>
          <w:color w:val="231F20"/>
        </w:rPr>
        <w:t>leverage</w:t>
      </w:r>
      <w:r>
        <w:rPr>
          <w:color w:val="231F20"/>
          <w:spacing w:val="-12"/>
        </w:rPr>
        <w:t> </w:t>
      </w:r>
      <w:r>
        <w:rPr>
          <w:color w:val="231F20"/>
        </w:rPr>
        <w:t>değerleri</w:t>
      </w:r>
      <w:r>
        <w:rPr>
          <w:color w:val="231F20"/>
          <w:spacing w:val="-12"/>
        </w:rPr>
        <w:t> </w:t>
      </w:r>
      <w:r>
        <w:rPr>
          <w:color w:val="231F20"/>
        </w:rPr>
        <w:t>normal</w:t>
      </w:r>
      <w:r>
        <w:rPr>
          <w:color w:val="231F20"/>
          <w:spacing w:val="-12"/>
        </w:rPr>
        <w:t> </w:t>
      </w:r>
      <w:r>
        <w:rPr>
          <w:color w:val="231F20"/>
        </w:rPr>
        <w:t>değerler</w:t>
      </w:r>
      <w:r>
        <w:rPr>
          <w:color w:val="231F20"/>
          <w:spacing w:val="-12"/>
        </w:rPr>
        <w:t> </w:t>
      </w:r>
      <w:r>
        <w:rPr>
          <w:color w:val="231F20"/>
        </w:rPr>
        <w:t>olarak</w:t>
      </w:r>
      <w:r>
        <w:rPr>
          <w:color w:val="231F20"/>
          <w:spacing w:val="-12"/>
        </w:rPr>
        <w:t> </w:t>
      </w:r>
      <w:r>
        <w:rPr>
          <w:color w:val="231F20"/>
        </w:rPr>
        <w:t>kabul</w:t>
      </w:r>
      <w:r>
        <w:rPr>
          <w:color w:val="231F20"/>
          <w:spacing w:val="-12"/>
        </w:rPr>
        <w:t> </w:t>
      </w:r>
      <w:r>
        <w:rPr>
          <w:color w:val="231F20"/>
        </w:rPr>
        <w:t>edilmektedir</w:t>
      </w:r>
      <w:r>
        <w:rPr>
          <w:color w:val="231F20"/>
          <w:spacing w:val="-12"/>
        </w:rPr>
        <w:t> </w:t>
      </w:r>
      <w:r>
        <w:rPr>
          <w:color w:val="231F20"/>
        </w:rPr>
        <w:t>(Seçer,</w:t>
      </w:r>
      <w:r>
        <w:rPr>
          <w:color w:val="231F20"/>
          <w:spacing w:val="-12"/>
        </w:rPr>
        <w:t> </w:t>
      </w:r>
      <w:r>
        <w:rPr>
          <w:color w:val="231F20"/>
        </w:rPr>
        <w:t>2015b). Normal dağlıma yönelik yapılan analiz sonucunda ise, çarpıklık ve basıklık değerlerinin kabul edilebilir sınırlar içerisinde olduğu görülmektedir. George &amp; Mallery (2010) Skewnwess ve Kurtosis değerlerinin ±2 arasında olmasının kabul edilebilir olduğunu</w:t>
      </w:r>
      <w:r>
        <w:rPr>
          <w:color w:val="231F20"/>
          <w:spacing w:val="-4"/>
        </w:rPr>
        <w:t> </w:t>
      </w:r>
      <w:r>
        <w:rPr>
          <w:color w:val="231F20"/>
        </w:rPr>
        <w:t>belirtmiştir.</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BodyText"/>
        <w:spacing w:line="249" w:lineRule="auto" w:before="1"/>
        <w:ind w:left="252" w:right="249" w:firstLine="567"/>
        <w:jc w:val="both"/>
      </w:pPr>
      <w:r>
        <w:rPr>
          <w:color w:val="231F20"/>
        </w:rPr>
        <w:t>Faktör</w:t>
      </w:r>
      <w:r>
        <w:rPr>
          <w:color w:val="231F20"/>
          <w:spacing w:val="-5"/>
        </w:rPr>
        <w:t> </w:t>
      </w:r>
      <w:r>
        <w:rPr>
          <w:color w:val="231F20"/>
        </w:rPr>
        <w:t>yüklerinin</w:t>
      </w:r>
      <w:r>
        <w:rPr>
          <w:color w:val="231F20"/>
          <w:spacing w:val="-5"/>
        </w:rPr>
        <w:t> </w:t>
      </w:r>
      <w:r>
        <w:rPr>
          <w:color w:val="231F20"/>
        </w:rPr>
        <w:t>tahmininde</w:t>
      </w:r>
      <w:r>
        <w:rPr>
          <w:color w:val="231F20"/>
          <w:spacing w:val="-4"/>
        </w:rPr>
        <w:t> </w:t>
      </w:r>
      <w:r>
        <w:rPr>
          <w:color w:val="231F20"/>
        </w:rPr>
        <w:t>Ençok</w:t>
      </w:r>
      <w:r>
        <w:rPr>
          <w:color w:val="231F20"/>
          <w:spacing w:val="-5"/>
        </w:rPr>
        <w:t> </w:t>
      </w:r>
      <w:r>
        <w:rPr>
          <w:color w:val="231F20"/>
        </w:rPr>
        <w:t>Olabilirlik</w:t>
      </w:r>
      <w:r>
        <w:rPr>
          <w:color w:val="231F20"/>
          <w:spacing w:val="-5"/>
        </w:rPr>
        <w:t> </w:t>
      </w:r>
      <w:r>
        <w:rPr>
          <w:color w:val="231F20"/>
        </w:rPr>
        <w:t>Yöntemi</w:t>
      </w:r>
      <w:r>
        <w:rPr>
          <w:color w:val="231F20"/>
          <w:spacing w:val="-5"/>
        </w:rPr>
        <w:t> </w:t>
      </w:r>
      <w:r>
        <w:rPr>
          <w:color w:val="231F20"/>
        </w:rPr>
        <w:t>(Maximum</w:t>
      </w:r>
      <w:r>
        <w:rPr>
          <w:color w:val="231F20"/>
          <w:spacing w:val="-4"/>
        </w:rPr>
        <w:t> </w:t>
      </w:r>
      <w:r>
        <w:rPr>
          <w:color w:val="231F20"/>
        </w:rPr>
        <w:t>Likelihood)</w:t>
      </w:r>
      <w:r>
        <w:rPr>
          <w:color w:val="231F20"/>
          <w:spacing w:val="-5"/>
        </w:rPr>
        <w:t> </w:t>
      </w:r>
      <w:r>
        <w:rPr>
          <w:color w:val="231F20"/>
        </w:rPr>
        <w:t>tercih edilmiştir.</w:t>
      </w:r>
      <w:r>
        <w:rPr>
          <w:color w:val="231F20"/>
          <w:spacing w:val="-4"/>
        </w:rPr>
        <w:t> </w:t>
      </w:r>
      <w:r>
        <w:rPr>
          <w:color w:val="231F20"/>
        </w:rPr>
        <w:t>Ölçüm</w:t>
      </w:r>
      <w:r>
        <w:rPr>
          <w:color w:val="231F20"/>
          <w:spacing w:val="-4"/>
        </w:rPr>
        <w:t> </w:t>
      </w:r>
      <w:r>
        <w:rPr>
          <w:color w:val="231F20"/>
        </w:rPr>
        <w:t>modeline</w:t>
      </w:r>
      <w:r>
        <w:rPr>
          <w:color w:val="231F20"/>
          <w:spacing w:val="-3"/>
        </w:rPr>
        <w:t> </w:t>
      </w:r>
      <w:r>
        <w:rPr>
          <w:color w:val="231F20"/>
        </w:rPr>
        <w:t>ilişkin</w:t>
      </w:r>
      <w:r>
        <w:rPr>
          <w:color w:val="231F20"/>
          <w:spacing w:val="-4"/>
        </w:rPr>
        <w:t> </w:t>
      </w:r>
      <w:r>
        <w:rPr>
          <w:color w:val="231F20"/>
        </w:rPr>
        <w:t>Birinci</w:t>
      </w:r>
      <w:r>
        <w:rPr>
          <w:color w:val="231F20"/>
          <w:spacing w:val="-4"/>
        </w:rPr>
        <w:t> </w:t>
      </w:r>
      <w:r>
        <w:rPr>
          <w:color w:val="231F20"/>
        </w:rPr>
        <w:t>ve</w:t>
      </w:r>
      <w:r>
        <w:rPr>
          <w:color w:val="231F20"/>
          <w:spacing w:val="-3"/>
        </w:rPr>
        <w:t> </w:t>
      </w:r>
      <w:r>
        <w:rPr>
          <w:color w:val="231F20"/>
        </w:rPr>
        <w:t>İkinci</w:t>
      </w:r>
      <w:r>
        <w:rPr>
          <w:color w:val="231F20"/>
          <w:spacing w:val="-4"/>
        </w:rPr>
        <w:t> </w:t>
      </w:r>
      <w:r>
        <w:rPr>
          <w:color w:val="231F20"/>
        </w:rPr>
        <w:t>Düzey</w:t>
      </w:r>
      <w:r>
        <w:rPr>
          <w:color w:val="231F20"/>
          <w:spacing w:val="-3"/>
        </w:rPr>
        <w:t> </w:t>
      </w:r>
      <w:r>
        <w:rPr>
          <w:color w:val="231F20"/>
        </w:rPr>
        <w:t>DFA</w:t>
      </w:r>
      <w:r>
        <w:rPr>
          <w:color w:val="231F20"/>
          <w:spacing w:val="-4"/>
        </w:rPr>
        <w:t> </w:t>
      </w:r>
      <w:r>
        <w:rPr>
          <w:color w:val="231F20"/>
        </w:rPr>
        <w:t>analiz</w:t>
      </w:r>
      <w:r>
        <w:rPr>
          <w:color w:val="231F20"/>
          <w:spacing w:val="-4"/>
        </w:rPr>
        <w:t> </w:t>
      </w:r>
      <w:r>
        <w:rPr>
          <w:color w:val="231F20"/>
        </w:rPr>
        <w:t>sonuçları</w:t>
      </w:r>
      <w:r>
        <w:rPr>
          <w:color w:val="231F20"/>
          <w:spacing w:val="-3"/>
        </w:rPr>
        <w:t> </w:t>
      </w:r>
      <w:r>
        <w:rPr>
          <w:color w:val="231F20"/>
        </w:rPr>
        <w:t>incelendiğin- de, ölçeğin yapısal denklem model sonucu (Structural Equation Modeling Results) p=0,000 düzeyinde</w:t>
      </w:r>
      <w:r>
        <w:rPr>
          <w:color w:val="231F20"/>
          <w:spacing w:val="-10"/>
        </w:rPr>
        <w:t> </w:t>
      </w:r>
      <w:r>
        <w:rPr>
          <w:color w:val="231F20"/>
        </w:rPr>
        <w:t>anlamlı,</w:t>
      </w:r>
      <w:r>
        <w:rPr>
          <w:color w:val="231F20"/>
          <w:spacing w:val="-9"/>
        </w:rPr>
        <w:t> </w:t>
      </w:r>
      <w:r>
        <w:rPr>
          <w:color w:val="231F20"/>
        </w:rPr>
        <w:t>29</w:t>
      </w:r>
      <w:r>
        <w:rPr>
          <w:color w:val="231F20"/>
          <w:spacing w:val="-9"/>
        </w:rPr>
        <w:t> </w:t>
      </w:r>
      <w:r>
        <w:rPr>
          <w:color w:val="231F20"/>
        </w:rPr>
        <w:t>madde</w:t>
      </w:r>
      <w:r>
        <w:rPr>
          <w:color w:val="231F20"/>
          <w:spacing w:val="-9"/>
        </w:rPr>
        <w:t> </w:t>
      </w:r>
      <w:r>
        <w:rPr>
          <w:color w:val="231F20"/>
        </w:rPr>
        <w:t>ve</w:t>
      </w:r>
      <w:r>
        <w:rPr>
          <w:color w:val="231F20"/>
          <w:spacing w:val="-9"/>
        </w:rPr>
        <w:t> </w:t>
      </w:r>
      <w:r>
        <w:rPr>
          <w:color w:val="231F20"/>
        </w:rPr>
        <w:t>iki</w:t>
      </w:r>
      <w:r>
        <w:rPr>
          <w:color w:val="231F20"/>
          <w:spacing w:val="-9"/>
        </w:rPr>
        <w:t> </w:t>
      </w:r>
      <w:r>
        <w:rPr>
          <w:color w:val="231F20"/>
        </w:rPr>
        <w:t>alt</w:t>
      </w:r>
      <w:r>
        <w:rPr>
          <w:color w:val="231F20"/>
          <w:spacing w:val="-9"/>
        </w:rPr>
        <w:t> </w:t>
      </w:r>
      <w:r>
        <w:rPr>
          <w:color w:val="231F20"/>
        </w:rPr>
        <w:t>bileşenin</w:t>
      </w:r>
      <w:r>
        <w:rPr>
          <w:color w:val="231F20"/>
          <w:spacing w:val="-9"/>
        </w:rPr>
        <w:t> </w:t>
      </w:r>
      <w:r>
        <w:rPr>
          <w:color w:val="231F20"/>
        </w:rPr>
        <w:t>ölçek</w:t>
      </w:r>
      <w:r>
        <w:rPr>
          <w:color w:val="231F20"/>
          <w:spacing w:val="-9"/>
        </w:rPr>
        <w:t> </w:t>
      </w:r>
      <w:r>
        <w:rPr>
          <w:color w:val="231F20"/>
        </w:rPr>
        <w:t>yapısıyla</w:t>
      </w:r>
      <w:r>
        <w:rPr>
          <w:color w:val="231F20"/>
          <w:spacing w:val="-9"/>
        </w:rPr>
        <w:t> </w:t>
      </w:r>
      <w:r>
        <w:rPr>
          <w:color w:val="231F20"/>
        </w:rPr>
        <w:t>ilişkili</w:t>
      </w:r>
      <w:r>
        <w:rPr>
          <w:color w:val="231F20"/>
          <w:spacing w:val="-9"/>
        </w:rPr>
        <w:t> </w:t>
      </w:r>
      <w:r>
        <w:rPr>
          <w:color w:val="231F20"/>
        </w:rPr>
        <w:t>olduğu</w:t>
      </w:r>
      <w:r>
        <w:rPr>
          <w:color w:val="231F20"/>
          <w:spacing w:val="-9"/>
        </w:rPr>
        <w:t> </w:t>
      </w:r>
      <w:r>
        <w:rPr>
          <w:color w:val="231F20"/>
        </w:rPr>
        <w:t>tespit</w:t>
      </w:r>
      <w:r>
        <w:rPr>
          <w:color w:val="231F20"/>
          <w:spacing w:val="-9"/>
        </w:rPr>
        <w:t> </w:t>
      </w:r>
      <w:r>
        <w:rPr>
          <w:color w:val="231F20"/>
        </w:rPr>
        <w:t>edilmiştir.</w:t>
      </w:r>
    </w:p>
    <w:p>
      <w:pPr>
        <w:pStyle w:val="BodyText"/>
        <w:spacing w:line="249" w:lineRule="auto" w:before="116"/>
        <w:ind w:left="252" w:right="249" w:firstLine="567"/>
        <w:jc w:val="both"/>
      </w:pPr>
      <w:r>
        <w:rPr>
          <w:color w:val="231F20"/>
        </w:rPr>
        <w:t>Örneklem büyüklüğünün fazla olduğu durumda (n&gt; 200) ki-kare istatistiğinin değeri uyum</w:t>
      </w:r>
      <w:r>
        <w:rPr>
          <w:color w:val="231F20"/>
          <w:spacing w:val="-11"/>
        </w:rPr>
        <w:t> </w:t>
      </w:r>
      <w:r>
        <w:rPr>
          <w:color w:val="231F20"/>
        </w:rPr>
        <w:t>sınırlarının</w:t>
      </w:r>
      <w:r>
        <w:rPr>
          <w:color w:val="231F20"/>
          <w:spacing w:val="-11"/>
        </w:rPr>
        <w:t> </w:t>
      </w:r>
      <w:r>
        <w:rPr>
          <w:color w:val="231F20"/>
        </w:rPr>
        <w:t>dışına</w:t>
      </w:r>
      <w:r>
        <w:rPr>
          <w:color w:val="231F20"/>
          <w:spacing w:val="-10"/>
        </w:rPr>
        <w:t> </w:t>
      </w:r>
      <w:r>
        <w:rPr>
          <w:color w:val="231F20"/>
        </w:rPr>
        <w:t>çıkmaya</w:t>
      </w:r>
      <w:r>
        <w:rPr>
          <w:color w:val="231F20"/>
          <w:spacing w:val="-10"/>
        </w:rPr>
        <w:t> </w:t>
      </w:r>
      <w:r>
        <w:rPr>
          <w:color w:val="231F20"/>
        </w:rPr>
        <w:t>eğilimlidir</w:t>
      </w:r>
      <w:r>
        <w:rPr>
          <w:color w:val="231F20"/>
          <w:spacing w:val="-11"/>
        </w:rPr>
        <w:t> </w:t>
      </w:r>
      <w:r>
        <w:rPr>
          <w:color w:val="231F20"/>
        </w:rPr>
        <w:t>(Schumacher</w:t>
      </w:r>
      <w:r>
        <w:rPr>
          <w:color w:val="231F20"/>
          <w:spacing w:val="-10"/>
        </w:rPr>
        <w:t> </w:t>
      </w:r>
      <w:r>
        <w:rPr>
          <w:color w:val="231F20"/>
        </w:rPr>
        <w:t>&amp;</w:t>
      </w:r>
      <w:r>
        <w:rPr>
          <w:color w:val="231F20"/>
          <w:spacing w:val="-10"/>
        </w:rPr>
        <w:t> </w:t>
      </w:r>
      <w:r>
        <w:rPr>
          <w:color w:val="231F20"/>
        </w:rPr>
        <w:t>Lomax,</w:t>
      </w:r>
      <w:r>
        <w:rPr>
          <w:color w:val="231F20"/>
          <w:spacing w:val="-10"/>
        </w:rPr>
        <w:t> </w:t>
      </w:r>
      <w:r>
        <w:rPr>
          <w:color w:val="231F20"/>
        </w:rPr>
        <w:t>2004).</w:t>
      </w:r>
      <w:r>
        <w:rPr>
          <w:color w:val="231F20"/>
          <w:spacing w:val="-10"/>
        </w:rPr>
        <w:t> </w:t>
      </w:r>
      <w:r>
        <w:rPr>
          <w:color w:val="231F20"/>
        </w:rPr>
        <w:t>Bu</w:t>
      </w:r>
      <w:r>
        <w:rPr>
          <w:color w:val="231F20"/>
          <w:spacing w:val="-10"/>
        </w:rPr>
        <w:t> </w:t>
      </w:r>
      <w:r>
        <w:rPr>
          <w:color w:val="231F20"/>
        </w:rPr>
        <w:t>durumu</w:t>
      </w:r>
      <w:r>
        <w:rPr>
          <w:color w:val="231F20"/>
          <w:spacing w:val="-10"/>
        </w:rPr>
        <w:t> </w:t>
      </w:r>
      <w:r>
        <w:rPr>
          <w:color w:val="231F20"/>
        </w:rPr>
        <w:t>düzelt- menin bir yöntemi, genel model uyumunu değerlendirmek için maksimum olabilirliğe daya-  lı ki-kare yerine Bollen-Stine (B-S) ortalama ki-kare değerini kullanmaktır (Bollen &amp; Stine, </w:t>
      </w:r>
      <w:hyperlink r:id="rId17">
        <w:r>
          <w:rPr>
            <w:color w:val="231F20"/>
          </w:rPr>
          <w:t>1992; https://stat.utexas.edu/</w:t>
        </w:r>
      </w:hyperlink>
      <w:r>
        <w:rPr>
          <w:color w:val="231F20"/>
        </w:rPr>
        <w:t>).</w:t>
      </w:r>
    </w:p>
    <w:p>
      <w:pPr>
        <w:pStyle w:val="BodyText"/>
        <w:spacing w:line="249" w:lineRule="auto" w:before="118"/>
        <w:ind w:left="251" w:right="248" w:firstLine="567"/>
        <w:jc w:val="both"/>
      </w:pPr>
      <w:r>
        <w:rPr>
          <w:color w:val="231F20"/>
        </w:rPr>
        <w:t>Bu araştırmada DFA örnekleminin oldukça büyük olmasından kaynaklı, Bollen-Sti-  ne Bootstrap (2000) önyüklemesinden elde edilen ortalama ki-kare değeri değerlendirmeye alınmış, Birinci ve İkinci Düzey DFA analizi sonucunda elde edilen yapısal modele ilişkin uyum iyiliği değerlerine bakıldığında, modelin genel uyumunu gösteren χ2/df değeri, artık temelli</w:t>
      </w:r>
      <w:r>
        <w:rPr>
          <w:color w:val="231F20"/>
          <w:spacing w:val="-5"/>
        </w:rPr>
        <w:t> </w:t>
      </w:r>
      <w:r>
        <w:rPr>
          <w:color w:val="231F20"/>
        </w:rPr>
        <w:t>uyum</w:t>
      </w:r>
      <w:r>
        <w:rPr>
          <w:color w:val="231F20"/>
          <w:spacing w:val="-4"/>
        </w:rPr>
        <w:t> </w:t>
      </w:r>
      <w:r>
        <w:rPr>
          <w:color w:val="231F20"/>
        </w:rPr>
        <w:t>indeksi</w:t>
      </w:r>
      <w:r>
        <w:rPr>
          <w:color w:val="231F20"/>
          <w:spacing w:val="-4"/>
        </w:rPr>
        <w:t> </w:t>
      </w:r>
      <w:r>
        <w:rPr>
          <w:color w:val="231F20"/>
        </w:rPr>
        <w:t>(SRMR)</w:t>
      </w:r>
      <w:r>
        <w:rPr>
          <w:color w:val="231F20"/>
          <w:spacing w:val="-4"/>
        </w:rPr>
        <w:t> </w:t>
      </w:r>
      <w:r>
        <w:rPr>
          <w:color w:val="231F20"/>
        </w:rPr>
        <w:t>ve</w:t>
      </w:r>
      <w:r>
        <w:rPr>
          <w:color w:val="231F20"/>
          <w:spacing w:val="-4"/>
        </w:rPr>
        <w:t> </w:t>
      </w:r>
      <w:r>
        <w:rPr>
          <w:color w:val="231F20"/>
        </w:rPr>
        <w:t>karşılaştırmalı</w:t>
      </w:r>
      <w:r>
        <w:rPr>
          <w:color w:val="231F20"/>
          <w:spacing w:val="-6"/>
        </w:rPr>
        <w:t> </w:t>
      </w:r>
      <w:r>
        <w:rPr>
          <w:color w:val="231F20"/>
        </w:rPr>
        <w:t>uyum</w:t>
      </w:r>
      <w:r>
        <w:rPr>
          <w:color w:val="231F20"/>
          <w:spacing w:val="-4"/>
        </w:rPr>
        <w:t> </w:t>
      </w:r>
      <w:r>
        <w:rPr>
          <w:color w:val="231F20"/>
        </w:rPr>
        <w:t>indekslerinden</w:t>
      </w:r>
      <w:r>
        <w:rPr>
          <w:color w:val="231F20"/>
          <w:spacing w:val="-4"/>
        </w:rPr>
        <w:t> </w:t>
      </w:r>
      <w:r>
        <w:rPr>
          <w:color w:val="231F20"/>
        </w:rPr>
        <w:t>CFI</w:t>
      </w:r>
      <w:r>
        <w:rPr>
          <w:color w:val="231F20"/>
          <w:spacing w:val="-4"/>
        </w:rPr>
        <w:t> </w:t>
      </w:r>
      <w:r>
        <w:rPr>
          <w:color w:val="231F20"/>
        </w:rPr>
        <w:t>ve</w:t>
      </w:r>
      <w:r>
        <w:rPr>
          <w:color w:val="231F20"/>
          <w:spacing w:val="-4"/>
        </w:rPr>
        <w:t> </w:t>
      </w:r>
      <w:r>
        <w:rPr>
          <w:color w:val="231F20"/>
        </w:rPr>
        <w:t>NFI</w:t>
      </w:r>
      <w:r>
        <w:rPr>
          <w:color w:val="231F20"/>
          <w:spacing w:val="-4"/>
        </w:rPr>
        <w:t> </w:t>
      </w:r>
      <w:r>
        <w:rPr>
          <w:color w:val="231F20"/>
        </w:rPr>
        <w:t>değerlerinin mükemmel uyum; RMSEA ve mutlak uyum indekslerinin (GFI, AGFI) kabul edilebilir uyum gösterdiği gözlemlenmiştir.</w:t>
      </w:r>
    </w:p>
    <w:p>
      <w:pPr>
        <w:pStyle w:val="BodyText"/>
        <w:spacing w:before="2"/>
      </w:pPr>
    </w:p>
    <w:p>
      <w:pPr>
        <w:pStyle w:val="Heading1"/>
        <w:spacing w:line="249" w:lineRule="auto"/>
        <w:ind w:left="251" w:right="323"/>
      </w:pPr>
      <w:r>
        <w:rPr>
          <w:color w:val="231F20"/>
        </w:rPr>
        <w:t>Tablo 5: Birinci ve İkinci Düzey Çok Faktörlü Doğrulayıcı Faktör Analizi Model Uyum İndeksleri (n=3805)</w:t>
      </w:r>
    </w:p>
    <w:p>
      <w:pPr>
        <w:pStyle w:val="BodyText"/>
        <w:spacing w:before="10"/>
        <w:rPr>
          <w:b/>
          <w:sz w:val="7"/>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9"/>
        <w:gridCol w:w="1706"/>
        <w:gridCol w:w="1963"/>
        <w:gridCol w:w="976"/>
        <w:gridCol w:w="1993"/>
      </w:tblGrid>
      <w:tr>
        <w:trPr>
          <w:trHeight w:val="394" w:hRule="atLeast"/>
        </w:trPr>
        <w:tc>
          <w:tcPr>
            <w:tcW w:w="2605" w:type="dxa"/>
            <w:gridSpan w:val="2"/>
            <w:tcBorders>
              <w:top w:val="single" w:sz="4" w:space="0" w:color="231F20"/>
            </w:tcBorders>
          </w:tcPr>
          <w:p>
            <w:pPr>
              <w:pStyle w:val="TableParagraph"/>
              <w:tabs>
                <w:tab w:pos="965" w:val="left" w:leader="none"/>
              </w:tabs>
              <w:spacing w:line="337" w:lineRule="exact" w:before="37"/>
              <w:ind w:left="79"/>
              <w:rPr>
                <w:b/>
                <w:sz w:val="20"/>
              </w:rPr>
            </w:pPr>
            <w:r>
              <w:rPr>
                <w:b/>
                <w:color w:val="231F20"/>
                <w:position w:val="12"/>
                <w:sz w:val="20"/>
              </w:rPr>
              <w:t>İndeks</w:t>
              <w:tab/>
            </w:r>
            <w:r>
              <w:rPr>
                <w:b/>
                <w:color w:val="231F20"/>
                <w:sz w:val="20"/>
              </w:rPr>
              <w:t>Mükemmel</w:t>
            </w:r>
            <w:r>
              <w:rPr>
                <w:b/>
                <w:color w:val="231F20"/>
                <w:spacing w:val="-2"/>
                <w:sz w:val="20"/>
              </w:rPr>
              <w:t> </w:t>
            </w:r>
            <w:r>
              <w:rPr>
                <w:b/>
                <w:color w:val="231F20"/>
                <w:sz w:val="20"/>
              </w:rPr>
              <w:t>Uyum</w:t>
            </w:r>
          </w:p>
        </w:tc>
        <w:tc>
          <w:tcPr>
            <w:tcW w:w="4932" w:type="dxa"/>
            <w:gridSpan w:val="3"/>
            <w:tcBorders>
              <w:top w:val="single" w:sz="4" w:space="0" w:color="231F20"/>
            </w:tcBorders>
          </w:tcPr>
          <w:p>
            <w:pPr>
              <w:pStyle w:val="TableParagraph"/>
              <w:tabs>
                <w:tab w:pos="2140" w:val="left" w:leader="none"/>
              </w:tabs>
              <w:spacing w:line="337" w:lineRule="exact" w:before="37"/>
              <w:ind w:left="282"/>
              <w:rPr>
                <w:b/>
                <w:sz w:val="20"/>
              </w:rPr>
            </w:pPr>
            <w:r>
              <w:rPr>
                <w:b/>
                <w:color w:val="231F20"/>
                <w:sz w:val="20"/>
              </w:rPr>
              <w:t>Kabul Edilebilir</w:t>
              <w:tab/>
            </w:r>
            <w:r>
              <w:rPr>
                <w:b/>
                <w:color w:val="231F20"/>
                <w:spacing w:val="-4"/>
                <w:position w:val="12"/>
                <w:sz w:val="20"/>
              </w:rPr>
              <w:t>Yapısal</w:t>
            </w:r>
          </w:p>
        </w:tc>
      </w:tr>
      <w:tr>
        <w:trPr>
          <w:trHeight w:val="384" w:hRule="atLeast"/>
        </w:trPr>
        <w:tc>
          <w:tcPr>
            <w:tcW w:w="899" w:type="dxa"/>
            <w:tcBorders>
              <w:bottom w:val="single" w:sz="4" w:space="0" w:color="231F20"/>
            </w:tcBorders>
          </w:tcPr>
          <w:p>
            <w:pPr>
              <w:pStyle w:val="TableParagraph"/>
              <w:spacing w:line="113" w:lineRule="exact" w:before="0"/>
              <w:ind w:left="79"/>
              <w:rPr>
                <w:b/>
                <w:sz w:val="20"/>
              </w:rPr>
            </w:pPr>
            <w:r>
              <w:rPr>
                <w:b/>
                <w:color w:val="231F20"/>
                <w:sz w:val="20"/>
              </w:rPr>
              <w:t>(Uyum</w:t>
            </w:r>
          </w:p>
          <w:p>
            <w:pPr>
              <w:pStyle w:val="TableParagraph"/>
              <w:spacing w:before="10"/>
              <w:ind w:left="79"/>
              <w:rPr>
                <w:b/>
                <w:sz w:val="20"/>
              </w:rPr>
            </w:pPr>
            <w:r>
              <w:rPr>
                <w:b/>
                <w:color w:val="231F20"/>
                <w:sz w:val="20"/>
              </w:rPr>
              <w:t>Ölçüleri)</w:t>
            </w:r>
          </w:p>
        </w:tc>
        <w:tc>
          <w:tcPr>
            <w:tcW w:w="1706" w:type="dxa"/>
            <w:tcBorders>
              <w:bottom w:val="single" w:sz="4" w:space="0" w:color="231F20"/>
            </w:tcBorders>
          </w:tcPr>
          <w:p>
            <w:pPr>
              <w:pStyle w:val="TableParagraph"/>
              <w:spacing w:before="3"/>
              <w:ind w:left="441"/>
              <w:rPr>
                <w:b/>
                <w:sz w:val="20"/>
              </w:rPr>
            </w:pPr>
            <w:r>
              <w:rPr>
                <w:b/>
                <w:color w:val="231F20"/>
                <w:sz w:val="20"/>
              </w:rPr>
              <w:t>Değerleri</w:t>
            </w:r>
          </w:p>
        </w:tc>
        <w:tc>
          <w:tcPr>
            <w:tcW w:w="1963" w:type="dxa"/>
            <w:tcBorders>
              <w:bottom w:val="single" w:sz="4" w:space="0" w:color="231F20"/>
            </w:tcBorders>
          </w:tcPr>
          <w:p>
            <w:pPr>
              <w:pStyle w:val="TableParagraph"/>
              <w:spacing w:before="3"/>
              <w:ind w:left="292"/>
              <w:rPr>
                <w:b/>
                <w:sz w:val="20"/>
              </w:rPr>
            </w:pPr>
            <w:r>
              <w:rPr>
                <w:b/>
                <w:color w:val="231F20"/>
                <w:sz w:val="20"/>
              </w:rPr>
              <w:t>Uyum Değerleri</w:t>
            </w:r>
          </w:p>
        </w:tc>
        <w:tc>
          <w:tcPr>
            <w:tcW w:w="976" w:type="dxa"/>
            <w:tcBorders>
              <w:bottom w:val="single" w:sz="4" w:space="0" w:color="231F20"/>
            </w:tcBorders>
          </w:tcPr>
          <w:p>
            <w:pPr>
              <w:pStyle w:val="TableParagraph"/>
              <w:spacing w:line="113" w:lineRule="exact" w:before="0"/>
              <w:ind w:left="68" w:right="66"/>
              <w:jc w:val="center"/>
              <w:rPr>
                <w:b/>
                <w:sz w:val="20"/>
              </w:rPr>
            </w:pPr>
            <w:r>
              <w:rPr>
                <w:b/>
                <w:color w:val="231F20"/>
                <w:sz w:val="20"/>
              </w:rPr>
              <w:t>Model</w:t>
            </w:r>
          </w:p>
          <w:p>
            <w:pPr>
              <w:pStyle w:val="TableParagraph"/>
              <w:spacing w:before="10"/>
              <w:ind w:left="68" w:right="67"/>
              <w:jc w:val="center"/>
              <w:rPr>
                <w:b/>
                <w:sz w:val="20"/>
              </w:rPr>
            </w:pPr>
            <w:r>
              <w:rPr>
                <w:b/>
                <w:color w:val="231F20"/>
                <w:sz w:val="20"/>
              </w:rPr>
              <w:t>Değerleri</w:t>
            </w:r>
          </w:p>
        </w:tc>
        <w:tc>
          <w:tcPr>
            <w:tcW w:w="1993" w:type="dxa"/>
            <w:tcBorders>
              <w:bottom w:val="single" w:sz="4" w:space="0" w:color="231F20"/>
            </w:tcBorders>
          </w:tcPr>
          <w:p>
            <w:pPr>
              <w:pStyle w:val="TableParagraph"/>
              <w:spacing w:line="113" w:lineRule="exact" w:before="0"/>
              <w:ind w:left="72" w:right="35"/>
              <w:jc w:val="center"/>
              <w:rPr>
                <w:b/>
                <w:sz w:val="20"/>
              </w:rPr>
            </w:pPr>
            <w:r>
              <w:rPr>
                <w:b/>
                <w:color w:val="231F20"/>
                <w:sz w:val="20"/>
              </w:rPr>
              <w:t>Sonuç</w:t>
            </w:r>
          </w:p>
        </w:tc>
      </w:tr>
      <w:tr>
        <w:trPr>
          <w:trHeight w:val="301" w:hRule="atLeast"/>
        </w:trPr>
        <w:tc>
          <w:tcPr>
            <w:tcW w:w="899" w:type="dxa"/>
            <w:tcBorders>
              <w:top w:val="single" w:sz="4" w:space="0" w:color="231F20"/>
              <w:bottom w:val="single" w:sz="2" w:space="0" w:color="231F20"/>
            </w:tcBorders>
          </w:tcPr>
          <w:p>
            <w:pPr>
              <w:pStyle w:val="TableParagraph"/>
              <w:spacing w:before="37"/>
              <w:ind w:left="79"/>
              <w:rPr>
                <w:b/>
                <w:sz w:val="20"/>
              </w:rPr>
            </w:pPr>
            <w:r>
              <w:rPr>
                <w:b/>
                <w:color w:val="231F20"/>
                <w:sz w:val="20"/>
              </w:rPr>
              <w:t>χ2 /df</w:t>
            </w:r>
          </w:p>
        </w:tc>
        <w:tc>
          <w:tcPr>
            <w:tcW w:w="1706" w:type="dxa"/>
            <w:tcBorders>
              <w:top w:val="single" w:sz="4" w:space="0" w:color="231F20"/>
              <w:bottom w:val="single" w:sz="2" w:space="0" w:color="231F20"/>
            </w:tcBorders>
          </w:tcPr>
          <w:p>
            <w:pPr>
              <w:pStyle w:val="TableParagraph"/>
              <w:spacing w:before="37"/>
              <w:ind w:left="313"/>
              <w:rPr>
                <w:sz w:val="20"/>
              </w:rPr>
            </w:pPr>
            <w:r>
              <w:rPr>
                <w:color w:val="231F20"/>
                <w:w w:val="105"/>
                <w:sz w:val="20"/>
              </w:rPr>
              <w:t>0 ≤ Χ </w:t>
            </w:r>
            <w:r>
              <w:rPr>
                <w:color w:val="231F20"/>
                <w:w w:val="105"/>
                <w:sz w:val="20"/>
                <w:vertAlign w:val="superscript"/>
              </w:rPr>
              <w:t>2</w:t>
            </w:r>
            <w:r>
              <w:rPr>
                <w:color w:val="231F20"/>
                <w:w w:val="105"/>
                <w:sz w:val="20"/>
                <w:vertAlign w:val="baseline"/>
              </w:rPr>
              <w:t>/df ≤3</w:t>
            </w:r>
          </w:p>
        </w:tc>
        <w:tc>
          <w:tcPr>
            <w:tcW w:w="1963" w:type="dxa"/>
            <w:tcBorders>
              <w:top w:val="single" w:sz="4" w:space="0" w:color="231F20"/>
              <w:bottom w:val="single" w:sz="2" w:space="0" w:color="231F20"/>
            </w:tcBorders>
          </w:tcPr>
          <w:p>
            <w:pPr>
              <w:pStyle w:val="TableParagraph"/>
              <w:spacing w:before="37"/>
              <w:ind w:left="450"/>
              <w:rPr>
                <w:sz w:val="20"/>
              </w:rPr>
            </w:pPr>
            <w:r>
              <w:rPr>
                <w:color w:val="231F20"/>
                <w:w w:val="105"/>
                <w:sz w:val="20"/>
              </w:rPr>
              <w:t>3 ≤ Χ </w:t>
            </w:r>
            <w:r>
              <w:rPr>
                <w:color w:val="231F20"/>
                <w:w w:val="105"/>
                <w:sz w:val="20"/>
                <w:vertAlign w:val="superscript"/>
              </w:rPr>
              <w:t>2</w:t>
            </w:r>
            <w:r>
              <w:rPr>
                <w:color w:val="231F20"/>
                <w:w w:val="105"/>
                <w:sz w:val="20"/>
                <w:vertAlign w:val="baseline"/>
              </w:rPr>
              <w:t>/df ≤5</w:t>
            </w:r>
          </w:p>
        </w:tc>
        <w:tc>
          <w:tcPr>
            <w:tcW w:w="976" w:type="dxa"/>
            <w:tcBorders>
              <w:top w:val="single" w:sz="4" w:space="0" w:color="231F20"/>
              <w:bottom w:val="single" w:sz="2" w:space="0" w:color="231F20"/>
            </w:tcBorders>
          </w:tcPr>
          <w:p>
            <w:pPr>
              <w:pStyle w:val="TableParagraph"/>
              <w:spacing w:before="37"/>
              <w:ind w:left="264"/>
              <w:rPr>
                <w:sz w:val="20"/>
              </w:rPr>
            </w:pPr>
            <w:r>
              <w:rPr>
                <w:color w:val="231F20"/>
                <w:sz w:val="20"/>
              </w:rPr>
              <w:t>2,187</w:t>
            </w:r>
          </w:p>
        </w:tc>
        <w:tc>
          <w:tcPr>
            <w:tcW w:w="1993" w:type="dxa"/>
            <w:tcBorders>
              <w:top w:val="single" w:sz="4" w:space="0" w:color="231F20"/>
              <w:bottom w:val="single" w:sz="2" w:space="0" w:color="231F20"/>
            </w:tcBorders>
          </w:tcPr>
          <w:p>
            <w:pPr>
              <w:pStyle w:val="TableParagraph"/>
              <w:spacing w:before="37"/>
              <w:ind w:left="72" w:right="35"/>
              <w:jc w:val="center"/>
              <w:rPr>
                <w:sz w:val="20"/>
              </w:rPr>
            </w:pPr>
            <w:r>
              <w:rPr>
                <w:color w:val="231F20"/>
                <w:sz w:val="20"/>
              </w:rPr>
              <w:t>Mükemmel Uyum</w:t>
            </w:r>
          </w:p>
        </w:tc>
      </w:tr>
      <w:tr>
        <w:trPr>
          <w:trHeight w:val="303" w:hRule="atLeast"/>
        </w:trPr>
        <w:tc>
          <w:tcPr>
            <w:tcW w:w="899" w:type="dxa"/>
            <w:tcBorders>
              <w:top w:val="single" w:sz="2" w:space="0" w:color="231F20"/>
              <w:bottom w:val="single" w:sz="2" w:space="0" w:color="231F20"/>
            </w:tcBorders>
          </w:tcPr>
          <w:p>
            <w:pPr>
              <w:pStyle w:val="TableParagraph"/>
              <w:ind w:left="79"/>
              <w:rPr>
                <w:b/>
                <w:sz w:val="20"/>
              </w:rPr>
            </w:pPr>
            <w:r>
              <w:rPr>
                <w:b/>
                <w:color w:val="231F20"/>
                <w:sz w:val="20"/>
              </w:rPr>
              <w:t>RMSEA</w:t>
            </w:r>
          </w:p>
        </w:tc>
        <w:tc>
          <w:tcPr>
            <w:tcW w:w="1706" w:type="dxa"/>
            <w:tcBorders>
              <w:top w:val="single" w:sz="2" w:space="0" w:color="231F20"/>
              <w:bottom w:val="single" w:sz="2" w:space="0" w:color="231F20"/>
            </w:tcBorders>
          </w:tcPr>
          <w:p>
            <w:pPr>
              <w:pStyle w:val="TableParagraph"/>
              <w:ind w:right="88"/>
              <w:jc w:val="right"/>
              <w:rPr>
                <w:sz w:val="20"/>
              </w:rPr>
            </w:pPr>
            <w:r>
              <w:rPr>
                <w:color w:val="231F20"/>
                <w:sz w:val="20"/>
              </w:rPr>
              <w:t>0 ≤ RMSEA ≤ 0,05</w:t>
            </w:r>
          </w:p>
        </w:tc>
        <w:tc>
          <w:tcPr>
            <w:tcW w:w="1963" w:type="dxa"/>
            <w:tcBorders>
              <w:top w:val="single" w:sz="2" w:space="0" w:color="231F20"/>
              <w:bottom w:val="single" w:sz="2" w:space="0" w:color="231F20"/>
            </w:tcBorders>
          </w:tcPr>
          <w:p>
            <w:pPr>
              <w:pStyle w:val="TableParagraph"/>
              <w:ind w:right="83"/>
              <w:jc w:val="right"/>
              <w:rPr>
                <w:sz w:val="20"/>
              </w:rPr>
            </w:pPr>
            <w:r>
              <w:rPr>
                <w:color w:val="231F20"/>
                <w:sz w:val="20"/>
              </w:rPr>
              <w:t>0,05 ≤ RMSEA ≤ 0,10</w:t>
            </w:r>
          </w:p>
        </w:tc>
        <w:tc>
          <w:tcPr>
            <w:tcW w:w="976" w:type="dxa"/>
            <w:tcBorders>
              <w:top w:val="single" w:sz="2" w:space="0" w:color="231F20"/>
              <w:bottom w:val="single" w:sz="2" w:space="0" w:color="231F20"/>
            </w:tcBorders>
          </w:tcPr>
          <w:p>
            <w:pPr>
              <w:pStyle w:val="TableParagraph"/>
              <w:ind w:left="264"/>
              <w:rPr>
                <w:sz w:val="20"/>
              </w:rPr>
            </w:pPr>
            <w:r>
              <w:rPr>
                <w:color w:val="231F20"/>
                <w:sz w:val="20"/>
              </w:rPr>
              <w:t>0,064</w:t>
            </w:r>
          </w:p>
        </w:tc>
        <w:tc>
          <w:tcPr>
            <w:tcW w:w="1993" w:type="dxa"/>
            <w:tcBorders>
              <w:top w:val="single" w:sz="2" w:space="0" w:color="231F20"/>
              <w:bottom w:val="single" w:sz="2" w:space="0" w:color="231F20"/>
            </w:tcBorders>
          </w:tcPr>
          <w:p>
            <w:pPr>
              <w:pStyle w:val="TableParagraph"/>
              <w:ind w:left="72" w:right="35"/>
              <w:jc w:val="center"/>
              <w:rPr>
                <w:sz w:val="20"/>
              </w:rPr>
            </w:pPr>
            <w:r>
              <w:rPr>
                <w:color w:val="231F20"/>
                <w:sz w:val="20"/>
              </w:rPr>
              <w:t>Kabul Edilebilir Uyum</w:t>
            </w:r>
          </w:p>
        </w:tc>
      </w:tr>
      <w:tr>
        <w:trPr>
          <w:trHeight w:val="303" w:hRule="atLeast"/>
        </w:trPr>
        <w:tc>
          <w:tcPr>
            <w:tcW w:w="899" w:type="dxa"/>
            <w:tcBorders>
              <w:top w:val="single" w:sz="2" w:space="0" w:color="231F20"/>
              <w:bottom w:val="single" w:sz="2" w:space="0" w:color="231F20"/>
            </w:tcBorders>
          </w:tcPr>
          <w:p>
            <w:pPr>
              <w:pStyle w:val="TableParagraph"/>
              <w:ind w:left="79"/>
              <w:rPr>
                <w:b/>
                <w:sz w:val="20"/>
              </w:rPr>
            </w:pPr>
            <w:r>
              <w:rPr>
                <w:b/>
                <w:color w:val="231F20"/>
                <w:sz w:val="20"/>
              </w:rPr>
              <w:t>GFI</w:t>
            </w:r>
          </w:p>
        </w:tc>
        <w:tc>
          <w:tcPr>
            <w:tcW w:w="1706" w:type="dxa"/>
            <w:tcBorders>
              <w:top w:val="single" w:sz="2" w:space="0" w:color="231F20"/>
              <w:bottom w:val="single" w:sz="2" w:space="0" w:color="231F20"/>
            </w:tcBorders>
          </w:tcPr>
          <w:p>
            <w:pPr>
              <w:pStyle w:val="TableParagraph"/>
              <w:ind w:left="592" w:right="613"/>
              <w:jc w:val="center"/>
              <w:rPr>
                <w:sz w:val="20"/>
              </w:rPr>
            </w:pPr>
            <w:r>
              <w:rPr>
                <w:color w:val="231F20"/>
                <w:sz w:val="20"/>
              </w:rPr>
              <w:t>≥0,90</w:t>
            </w:r>
          </w:p>
        </w:tc>
        <w:tc>
          <w:tcPr>
            <w:tcW w:w="1963" w:type="dxa"/>
            <w:tcBorders>
              <w:top w:val="single" w:sz="2" w:space="0" w:color="231F20"/>
              <w:bottom w:val="single" w:sz="2" w:space="0" w:color="231F20"/>
            </w:tcBorders>
          </w:tcPr>
          <w:p>
            <w:pPr>
              <w:pStyle w:val="TableParagraph"/>
              <w:ind w:left="728" w:right="734"/>
              <w:jc w:val="center"/>
              <w:rPr>
                <w:sz w:val="20"/>
              </w:rPr>
            </w:pPr>
            <w:r>
              <w:rPr>
                <w:color w:val="231F20"/>
                <w:sz w:val="20"/>
              </w:rPr>
              <w:t>≥0,80</w:t>
            </w:r>
          </w:p>
        </w:tc>
        <w:tc>
          <w:tcPr>
            <w:tcW w:w="976" w:type="dxa"/>
            <w:tcBorders>
              <w:top w:val="single" w:sz="2" w:space="0" w:color="231F20"/>
              <w:bottom w:val="single" w:sz="2" w:space="0" w:color="231F20"/>
            </w:tcBorders>
          </w:tcPr>
          <w:p>
            <w:pPr>
              <w:pStyle w:val="TableParagraph"/>
              <w:ind w:left="263"/>
              <w:rPr>
                <w:sz w:val="20"/>
              </w:rPr>
            </w:pPr>
            <w:r>
              <w:rPr>
                <w:color w:val="231F20"/>
                <w:sz w:val="20"/>
              </w:rPr>
              <w:t>0,881</w:t>
            </w:r>
          </w:p>
        </w:tc>
        <w:tc>
          <w:tcPr>
            <w:tcW w:w="1993" w:type="dxa"/>
            <w:tcBorders>
              <w:top w:val="single" w:sz="2" w:space="0" w:color="231F20"/>
              <w:bottom w:val="single" w:sz="2" w:space="0" w:color="231F20"/>
            </w:tcBorders>
          </w:tcPr>
          <w:p>
            <w:pPr>
              <w:pStyle w:val="TableParagraph"/>
              <w:ind w:left="72" w:right="35"/>
              <w:jc w:val="center"/>
              <w:rPr>
                <w:sz w:val="20"/>
              </w:rPr>
            </w:pPr>
            <w:r>
              <w:rPr>
                <w:color w:val="231F20"/>
                <w:sz w:val="20"/>
              </w:rPr>
              <w:t>Kabul Edilebilir Uyum</w:t>
            </w:r>
          </w:p>
        </w:tc>
      </w:tr>
      <w:tr>
        <w:trPr>
          <w:trHeight w:val="303" w:hRule="atLeast"/>
        </w:trPr>
        <w:tc>
          <w:tcPr>
            <w:tcW w:w="899" w:type="dxa"/>
            <w:tcBorders>
              <w:top w:val="single" w:sz="2" w:space="0" w:color="231F20"/>
              <w:bottom w:val="single" w:sz="2" w:space="0" w:color="231F20"/>
            </w:tcBorders>
          </w:tcPr>
          <w:p>
            <w:pPr>
              <w:pStyle w:val="TableParagraph"/>
              <w:ind w:left="79"/>
              <w:rPr>
                <w:b/>
                <w:sz w:val="20"/>
              </w:rPr>
            </w:pPr>
            <w:r>
              <w:rPr>
                <w:b/>
                <w:color w:val="231F20"/>
                <w:sz w:val="20"/>
              </w:rPr>
              <w:t>AGFI</w:t>
            </w:r>
          </w:p>
        </w:tc>
        <w:tc>
          <w:tcPr>
            <w:tcW w:w="1706" w:type="dxa"/>
            <w:tcBorders>
              <w:top w:val="single" w:sz="2" w:space="0" w:color="231F20"/>
              <w:bottom w:val="single" w:sz="2" w:space="0" w:color="231F20"/>
            </w:tcBorders>
          </w:tcPr>
          <w:p>
            <w:pPr>
              <w:pStyle w:val="TableParagraph"/>
              <w:ind w:right="75"/>
              <w:jc w:val="right"/>
              <w:rPr>
                <w:sz w:val="20"/>
              </w:rPr>
            </w:pPr>
            <w:r>
              <w:rPr>
                <w:color w:val="231F20"/>
                <w:sz w:val="20"/>
              </w:rPr>
              <w:t>0,95 ≤ AGFI ≤ 1,00</w:t>
            </w:r>
          </w:p>
        </w:tc>
        <w:tc>
          <w:tcPr>
            <w:tcW w:w="1963" w:type="dxa"/>
            <w:tcBorders>
              <w:top w:val="single" w:sz="2" w:space="0" w:color="231F20"/>
              <w:bottom w:val="single" w:sz="2" w:space="0" w:color="231F20"/>
            </w:tcBorders>
          </w:tcPr>
          <w:p>
            <w:pPr>
              <w:pStyle w:val="TableParagraph"/>
              <w:ind w:left="190"/>
              <w:rPr>
                <w:sz w:val="20"/>
              </w:rPr>
            </w:pPr>
            <w:r>
              <w:rPr>
                <w:color w:val="231F20"/>
                <w:sz w:val="20"/>
              </w:rPr>
              <w:t>0,80 ≤ AGFI ≤ 0,95</w:t>
            </w:r>
          </w:p>
        </w:tc>
        <w:tc>
          <w:tcPr>
            <w:tcW w:w="976" w:type="dxa"/>
            <w:tcBorders>
              <w:top w:val="single" w:sz="2" w:space="0" w:color="231F20"/>
              <w:bottom w:val="single" w:sz="2" w:space="0" w:color="231F20"/>
            </w:tcBorders>
          </w:tcPr>
          <w:p>
            <w:pPr>
              <w:pStyle w:val="TableParagraph"/>
              <w:ind w:left="263"/>
              <w:rPr>
                <w:sz w:val="20"/>
              </w:rPr>
            </w:pPr>
            <w:r>
              <w:rPr>
                <w:color w:val="231F20"/>
                <w:sz w:val="20"/>
              </w:rPr>
              <w:t>0,863</w:t>
            </w:r>
          </w:p>
        </w:tc>
        <w:tc>
          <w:tcPr>
            <w:tcW w:w="1993" w:type="dxa"/>
            <w:tcBorders>
              <w:top w:val="single" w:sz="2" w:space="0" w:color="231F20"/>
              <w:bottom w:val="single" w:sz="2" w:space="0" w:color="231F20"/>
            </w:tcBorders>
          </w:tcPr>
          <w:p>
            <w:pPr>
              <w:pStyle w:val="TableParagraph"/>
              <w:ind w:left="71" w:right="35"/>
              <w:jc w:val="center"/>
              <w:rPr>
                <w:sz w:val="20"/>
              </w:rPr>
            </w:pPr>
            <w:r>
              <w:rPr>
                <w:color w:val="231F20"/>
                <w:sz w:val="20"/>
              </w:rPr>
              <w:t>Kabul Edilebilir Uyum</w:t>
            </w:r>
          </w:p>
        </w:tc>
      </w:tr>
      <w:tr>
        <w:trPr>
          <w:trHeight w:val="303" w:hRule="atLeast"/>
        </w:trPr>
        <w:tc>
          <w:tcPr>
            <w:tcW w:w="899" w:type="dxa"/>
            <w:tcBorders>
              <w:top w:val="single" w:sz="2" w:space="0" w:color="231F20"/>
              <w:bottom w:val="single" w:sz="2" w:space="0" w:color="231F20"/>
            </w:tcBorders>
          </w:tcPr>
          <w:p>
            <w:pPr>
              <w:pStyle w:val="TableParagraph"/>
              <w:ind w:left="78"/>
              <w:rPr>
                <w:b/>
                <w:sz w:val="20"/>
              </w:rPr>
            </w:pPr>
            <w:r>
              <w:rPr>
                <w:b/>
                <w:color w:val="231F20"/>
                <w:sz w:val="20"/>
              </w:rPr>
              <w:t>SRMR</w:t>
            </w:r>
          </w:p>
        </w:tc>
        <w:tc>
          <w:tcPr>
            <w:tcW w:w="1706" w:type="dxa"/>
            <w:tcBorders>
              <w:top w:val="single" w:sz="2" w:space="0" w:color="231F20"/>
              <w:bottom w:val="single" w:sz="2" w:space="0" w:color="231F20"/>
            </w:tcBorders>
          </w:tcPr>
          <w:p>
            <w:pPr>
              <w:pStyle w:val="TableParagraph"/>
              <w:ind w:right="150"/>
              <w:jc w:val="right"/>
              <w:rPr>
                <w:sz w:val="20"/>
              </w:rPr>
            </w:pPr>
            <w:r>
              <w:rPr>
                <w:color w:val="231F20"/>
                <w:sz w:val="20"/>
              </w:rPr>
              <w:t>0 ≤ SRMR ≤ 0,05</w:t>
            </w:r>
          </w:p>
        </w:tc>
        <w:tc>
          <w:tcPr>
            <w:tcW w:w="1963" w:type="dxa"/>
            <w:tcBorders>
              <w:top w:val="single" w:sz="2" w:space="0" w:color="231F20"/>
              <w:bottom w:val="single" w:sz="2" w:space="0" w:color="231F20"/>
            </w:tcBorders>
          </w:tcPr>
          <w:p>
            <w:pPr>
              <w:pStyle w:val="TableParagraph"/>
              <w:ind w:right="145"/>
              <w:jc w:val="right"/>
              <w:rPr>
                <w:sz w:val="20"/>
              </w:rPr>
            </w:pPr>
            <w:r>
              <w:rPr>
                <w:color w:val="231F20"/>
                <w:sz w:val="20"/>
              </w:rPr>
              <w:t>0,05 ≤ SRMR ≤ 0,10</w:t>
            </w:r>
          </w:p>
        </w:tc>
        <w:tc>
          <w:tcPr>
            <w:tcW w:w="976" w:type="dxa"/>
            <w:tcBorders>
              <w:top w:val="single" w:sz="2" w:space="0" w:color="231F20"/>
              <w:bottom w:val="single" w:sz="2" w:space="0" w:color="231F20"/>
            </w:tcBorders>
          </w:tcPr>
          <w:p>
            <w:pPr>
              <w:pStyle w:val="TableParagraph"/>
              <w:ind w:left="263"/>
              <w:rPr>
                <w:sz w:val="20"/>
              </w:rPr>
            </w:pPr>
            <w:r>
              <w:rPr>
                <w:color w:val="231F20"/>
                <w:sz w:val="20"/>
              </w:rPr>
              <w:t>0,027</w:t>
            </w:r>
          </w:p>
        </w:tc>
        <w:tc>
          <w:tcPr>
            <w:tcW w:w="1993" w:type="dxa"/>
            <w:tcBorders>
              <w:top w:val="single" w:sz="2" w:space="0" w:color="231F20"/>
              <w:bottom w:val="single" w:sz="2" w:space="0" w:color="231F20"/>
            </w:tcBorders>
          </w:tcPr>
          <w:p>
            <w:pPr>
              <w:pStyle w:val="TableParagraph"/>
              <w:ind w:left="71" w:right="35"/>
              <w:jc w:val="center"/>
              <w:rPr>
                <w:sz w:val="20"/>
              </w:rPr>
            </w:pPr>
            <w:r>
              <w:rPr>
                <w:color w:val="231F20"/>
                <w:sz w:val="20"/>
              </w:rPr>
              <w:t>Mükemmel Uyum</w:t>
            </w:r>
          </w:p>
        </w:tc>
      </w:tr>
      <w:tr>
        <w:trPr>
          <w:trHeight w:val="303" w:hRule="atLeast"/>
        </w:trPr>
        <w:tc>
          <w:tcPr>
            <w:tcW w:w="899" w:type="dxa"/>
            <w:tcBorders>
              <w:top w:val="single" w:sz="2" w:space="0" w:color="231F20"/>
              <w:bottom w:val="single" w:sz="2" w:space="0" w:color="231F20"/>
            </w:tcBorders>
          </w:tcPr>
          <w:p>
            <w:pPr>
              <w:pStyle w:val="TableParagraph"/>
              <w:ind w:left="79"/>
              <w:rPr>
                <w:b/>
                <w:sz w:val="20"/>
              </w:rPr>
            </w:pPr>
            <w:r>
              <w:rPr>
                <w:b/>
                <w:color w:val="231F20"/>
                <w:sz w:val="20"/>
              </w:rPr>
              <w:t>NFI</w:t>
            </w:r>
          </w:p>
        </w:tc>
        <w:tc>
          <w:tcPr>
            <w:tcW w:w="1706" w:type="dxa"/>
            <w:tcBorders>
              <w:top w:val="single" w:sz="2" w:space="0" w:color="231F20"/>
              <w:bottom w:val="single" w:sz="2" w:space="0" w:color="231F20"/>
            </w:tcBorders>
          </w:tcPr>
          <w:p>
            <w:pPr>
              <w:pStyle w:val="TableParagraph"/>
              <w:ind w:left="592" w:right="613"/>
              <w:jc w:val="center"/>
              <w:rPr>
                <w:sz w:val="20"/>
              </w:rPr>
            </w:pPr>
            <w:r>
              <w:rPr>
                <w:color w:val="231F20"/>
                <w:sz w:val="20"/>
              </w:rPr>
              <w:t>≥0,90</w:t>
            </w:r>
          </w:p>
        </w:tc>
        <w:tc>
          <w:tcPr>
            <w:tcW w:w="1963" w:type="dxa"/>
            <w:tcBorders>
              <w:top w:val="single" w:sz="2" w:space="0" w:color="231F20"/>
              <w:bottom w:val="single" w:sz="2" w:space="0" w:color="231F20"/>
            </w:tcBorders>
          </w:tcPr>
          <w:p>
            <w:pPr>
              <w:pStyle w:val="TableParagraph"/>
              <w:ind w:left="728" w:right="733"/>
              <w:jc w:val="center"/>
              <w:rPr>
                <w:sz w:val="20"/>
              </w:rPr>
            </w:pPr>
            <w:r>
              <w:rPr>
                <w:color w:val="231F20"/>
                <w:sz w:val="20"/>
              </w:rPr>
              <w:t>≥0,80</w:t>
            </w:r>
          </w:p>
        </w:tc>
        <w:tc>
          <w:tcPr>
            <w:tcW w:w="976" w:type="dxa"/>
            <w:tcBorders>
              <w:top w:val="single" w:sz="2" w:space="0" w:color="231F20"/>
              <w:bottom w:val="single" w:sz="2" w:space="0" w:color="231F20"/>
            </w:tcBorders>
          </w:tcPr>
          <w:p>
            <w:pPr>
              <w:pStyle w:val="TableParagraph"/>
              <w:ind w:left="263"/>
              <w:rPr>
                <w:sz w:val="20"/>
              </w:rPr>
            </w:pPr>
            <w:r>
              <w:rPr>
                <w:color w:val="231F20"/>
                <w:sz w:val="20"/>
              </w:rPr>
              <w:t>0.942</w:t>
            </w:r>
          </w:p>
        </w:tc>
        <w:tc>
          <w:tcPr>
            <w:tcW w:w="1993" w:type="dxa"/>
            <w:tcBorders>
              <w:top w:val="single" w:sz="2" w:space="0" w:color="231F20"/>
              <w:bottom w:val="single" w:sz="2" w:space="0" w:color="231F20"/>
            </w:tcBorders>
          </w:tcPr>
          <w:p>
            <w:pPr>
              <w:pStyle w:val="TableParagraph"/>
              <w:ind w:left="71" w:right="35"/>
              <w:jc w:val="center"/>
              <w:rPr>
                <w:sz w:val="20"/>
              </w:rPr>
            </w:pPr>
            <w:r>
              <w:rPr>
                <w:color w:val="231F20"/>
                <w:sz w:val="20"/>
              </w:rPr>
              <w:t>Mükemmel Uyum</w:t>
            </w:r>
          </w:p>
        </w:tc>
      </w:tr>
      <w:tr>
        <w:trPr>
          <w:trHeight w:val="303" w:hRule="atLeast"/>
        </w:trPr>
        <w:tc>
          <w:tcPr>
            <w:tcW w:w="899" w:type="dxa"/>
            <w:tcBorders>
              <w:top w:val="single" w:sz="2" w:space="0" w:color="231F20"/>
              <w:bottom w:val="single" w:sz="2" w:space="0" w:color="231F20"/>
            </w:tcBorders>
          </w:tcPr>
          <w:p>
            <w:pPr>
              <w:pStyle w:val="TableParagraph"/>
              <w:ind w:left="79"/>
              <w:rPr>
                <w:b/>
                <w:sz w:val="20"/>
              </w:rPr>
            </w:pPr>
            <w:r>
              <w:rPr>
                <w:b/>
                <w:color w:val="231F20"/>
                <w:sz w:val="20"/>
              </w:rPr>
              <w:t>CFI</w:t>
            </w:r>
          </w:p>
        </w:tc>
        <w:tc>
          <w:tcPr>
            <w:tcW w:w="1706" w:type="dxa"/>
            <w:tcBorders>
              <w:top w:val="single" w:sz="2" w:space="0" w:color="231F20"/>
              <w:bottom w:val="single" w:sz="2" w:space="0" w:color="231F20"/>
            </w:tcBorders>
          </w:tcPr>
          <w:p>
            <w:pPr>
              <w:pStyle w:val="TableParagraph"/>
              <w:ind w:right="147"/>
              <w:jc w:val="right"/>
              <w:rPr>
                <w:sz w:val="20"/>
              </w:rPr>
            </w:pPr>
            <w:r>
              <w:rPr>
                <w:color w:val="231F20"/>
                <w:sz w:val="20"/>
              </w:rPr>
              <w:t>0,90 ≤ CFI ≤.1,00</w:t>
            </w:r>
          </w:p>
        </w:tc>
        <w:tc>
          <w:tcPr>
            <w:tcW w:w="1963" w:type="dxa"/>
            <w:tcBorders>
              <w:top w:val="single" w:sz="2" w:space="0" w:color="231F20"/>
              <w:bottom w:val="single" w:sz="2" w:space="0" w:color="231F20"/>
            </w:tcBorders>
          </w:tcPr>
          <w:p>
            <w:pPr>
              <w:pStyle w:val="TableParagraph"/>
              <w:ind w:left="262"/>
              <w:rPr>
                <w:sz w:val="20"/>
              </w:rPr>
            </w:pPr>
            <w:r>
              <w:rPr>
                <w:color w:val="231F20"/>
                <w:sz w:val="20"/>
              </w:rPr>
              <w:t>0,80 ≤ CFI ≤ 0,90</w:t>
            </w:r>
          </w:p>
        </w:tc>
        <w:tc>
          <w:tcPr>
            <w:tcW w:w="976" w:type="dxa"/>
            <w:tcBorders>
              <w:top w:val="single" w:sz="2" w:space="0" w:color="231F20"/>
              <w:bottom w:val="single" w:sz="2" w:space="0" w:color="231F20"/>
            </w:tcBorders>
          </w:tcPr>
          <w:p>
            <w:pPr>
              <w:pStyle w:val="TableParagraph"/>
              <w:ind w:left="263"/>
              <w:rPr>
                <w:sz w:val="20"/>
              </w:rPr>
            </w:pPr>
            <w:r>
              <w:rPr>
                <w:color w:val="231F20"/>
                <w:sz w:val="20"/>
              </w:rPr>
              <w:t>0,946</w:t>
            </w:r>
          </w:p>
        </w:tc>
        <w:tc>
          <w:tcPr>
            <w:tcW w:w="1993" w:type="dxa"/>
            <w:tcBorders>
              <w:top w:val="single" w:sz="2" w:space="0" w:color="231F20"/>
              <w:bottom w:val="single" w:sz="2" w:space="0" w:color="231F20"/>
            </w:tcBorders>
          </w:tcPr>
          <w:p>
            <w:pPr>
              <w:pStyle w:val="TableParagraph"/>
              <w:ind w:left="71" w:right="35"/>
              <w:jc w:val="center"/>
              <w:rPr>
                <w:sz w:val="20"/>
              </w:rPr>
            </w:pPr>
            <w:r>
              <w:rPr>
                <w:color w:val="231F20"/>
                <w:sz w:val="20"/>
              </w:rPr>
              <w:t>Mükemmel Uyum</w:t>
            </w:r>
          </w:p>
        </w:tc>
      </w:tr>
    </w:tbl>
    <w:p>
      <w:pPr>
        <w:spacing w:before="38"/>
        <w:ind w:left="2200" w:right="2122" w:firstLine="0"/>
        <w:jc w:val="center"/>
        <w:rPr>
          <w:b/>
          <w:sz w:val="20"/>
        </w:rPr>
      </w:pPr>
      <w:r>
        <w:rPr/>
        <w:pict>
          <v:group style="position:absolute;margin-left:49.6063pt;margin-top:14.933943pt;width:377.05pt;height:.5pt;mso-position-horizontal-relative:page;mso-position-vertical-relative:paragraph;z-index:-15715328;mso-wrap-distance-left:0;mso-wrap-distance-right:0" coordorigin="992,299" coordsize="7541,10">
            <v:line style="position:absolute" from="992,304" to="1843,304" stroked="true" strokeweight=".5pt" strokecolor="#231f20">
              <v:stroke dashstyle="solid"/>
            </v:line>
            <v:line style="position:absolute" from="1843,304" to="3543,304" stroked="true" strokeweight=".5pt" strokecolor="#231f20">
              <v:stroke dashstyle="solid"/>
            </v:line>
            <v:line style="position:absolute" from="3543,304" to="5528,304" stroked="true" strokeweight=".5pt" strokecolor="#231f20">
              <v:stroke dashstyle="solid"/>
            </v:line>
            <v:line style="position:absolute" from="5528,304" to="6491,304" stroked="true" strokeweight=".5pt" strokecolor="#231f20">
              <v:stroke dashstyle="solid"/>
            </v:line>
            <v:line style="position:absolute" from="6491,304" to="8532,304" stroked="true" strokeweight=".5pt" strokecolor="#231f20">
              <v:stroke dashstyle="solid"/>
            </v:line>
            <w10:wrap type="topAndBottom"/>
          </v:group>
        </w:pict>
      </w:r>
      <w:r>
        <w:rPr>
          <w:b/>
          <w:color w:val="231F20"/>
          <w:sz w:val="20"/>
        </w:rPr>
        <w:t>Ort χ2(B-S): 822,640; df:376; p:0,000</w:t>
      </w:r>
    </w:p>
    <w:p>
      <w:pPr>
        <w:spacing w:line="261" w:lineRule="auto" w:before="55"/>
        <w:ind w:left="252" w:right="29" w:firstLine="0"/>
        <w:jc w:val="left"/>
        <w:rPr>
          <w:sz w:val="16"/>
        </w:rPr>
      </w:pPr>
      <w:r>
        <w:rPr>
          <w:b/>
          <w:color w:val="231F20"/>
          <w:sz w:val="16"/>
        </w:rPr>
        <w:t>Kaynak: </w:t>
      </w:r>
      <w:r>
        <w:rPr>
          <w:color w:val="231F20"/>
          <w:sz w:val="16"/>
        </w:rPr>
        <w:t>Dehon vd., 2005; Hooper vd., 2008; Hu &amp; Bentler, 1999; Meydan &amp; Şeşen, 2015; Schermelleh-Engel vd., 2003; Shevlin vd., 2000; Simon vd., 2010.</w:t>
      </w:r>
    </w:p>
    <w:p>
      <w:pPr>
        <w:spacing w:after="0" w:line="261" w:lineRule="auto"/>
        <w:jc w:val="left"/>
        <w:rPr>
          <w:sz w:val="16"/>
        </w:rPr>
        <w:sectPr>
          <w:pgSz w:w="9530" w:h="13610"/>
          <w:pgMar w:header="860" w:footer="344" w:top="1060" w:bottom="540" w:left="740" w:right="740"/>
        </w:sectPr>
      </w:pPr>
    </w:p>
    <w:p>
      <w:pPr>
        <w:pStyle w:val="BodyText"/>
      </w:pPr>
    </w:p>
    <w:p>
      <w:pPr>
        <w:pStyle w:val="BodyText"/>
        <w:spacing w:before="1"/>
      </w:pPr>
    </w:p>
    <w:p>
      <w:pPr>
        <w:pStyle w:val="Heading1"/>
        <w:spacing w:before="1"/>
      </w:pPr>
      <w:r>
        <w:rPr/>
        <w:pict>
          <v:group style="position:absolute;margin-left:49.6063pt;margin-top:16.219936pt;width:377.05pt;height:407.75pt;mso-position-horizontal-relative:page;mso-position-vertical-relative:paragraph;z-index:-15714816;mso-wrap-distance-left:0;mso-wrap-distance-right:0" coordorigin="992,324" coordsize="7541,8155">
            <v:line style="position:absolute" from="992,329" to="8532,329" stroked="true" strokeweight=".5pt" strokecolor="#231f20">
              <v:stroke dashstyle="solid"/>
            </v:line>
            <v:line style="position:absolute" from="997,8469" to="997,334" stroked="true" strokeweight=".5pt" strokecolor="#231f20">
              <v:stroke dashstyle="solid"/>
            </v:line>
            <v:line style="position:absolute" from="8527,8469" to="8527,334" stroked="true" strokeweight=".5pt" strokecolor="#231f20">
              <v:stroke dashstyle="solid"/>
            </v:line>
            <v:line style="position:absolute" from="992,8474" to="8532,8474" stroked="true" strokeweight=".5pt" strokecolor="#231f20">
              <v:stroke dashstyle="solid"/>
            </v:line>
            <v:shape style="position:absolute;left:2904;top:408;width:3715;height:8014" type="#_x0000_t75" stroked="false">
              <v:imagedata r:id="rId18" o:title=""/>
            </v:shape>
            <w10:wrap type="topAndBottom"/>
          </v:group>
        </w:pict>
      </w:r>
      <w:r>
        <w:rPr>
          <w:color w:val="231F20"/>
        </w:rPr>
        <w:t>Şekil 3: Birinci Düzey Çok Faktörlü Doğrulayıcı Faktör Analizi Modeli</w:t>
      </w:r>
    </w:p>
    <w:p>
      <w:pPr>
        <w:spacing w:after="0"/>
        <w:sectPr>
          <w:pgSz w:w="9530" w:h="13610"/>
          <w:pgMar w:header="700" w:footer="344" w:top="1060" w:bottom="540" w:left="740" w:right="740"/>
        </w:sectPr>
      </w:pPr>
    </w:p>
    <w:p>
      <w:pPr>
        <w:pStyle w:val="BodyText"/>
        <w:rPr>
          <w:b/>
        </w:rPr>
      </w:pPr>
    </w:p>
    <w:p>
      <w:pPr>
        <w:pStyle w:val="BodyText"/>
        <w:spacing w:before="1"/>
        <w:rPr>
          <w:b/>
        </w:rPr>
      </w:pPr>
    </w:p>
    <w:p>
      <w:pPr>
        <w:spacing w:before="1"/>
        <w:ind w:left="252" w:right="0" w:firstLine="0"/>
        <w:jc w:val="left"/>
        <w:rPr>
          <w:b/>
          <w:sz w:val="20"/>
        </w:rPr>
      </w:pPr>
      <w:r>
        <w:rPr/>
        <w:pict>
          <v:group style="position:absolute;margin-left:49.6063pt;margin-top:16.219936pt;width:377.05pt;height:338.6pt;mso-position-horizontal-relative:page;mso-position-vertical-relative:paragraph;z-index:-15714304;mso-wrap-distance-left:0;mso-wrap-distance-right:0" coordorigin="992,324" coordsize="7541,6772">
            <v:line style="position:absolute" from="992,329" to="8532,329" stroked="true" strokeweight=".5pt" strokecolor="#231f20">
              <v:stroke dashstyle="solid"/>
            </v:line>
            <v:line style="position:absolute" from="997,7086" to="997,334" stroked="true" strokeweight=".5pt" strokecolor="#231f20">
              <v:stroke dashstyle="solid"/>
            </v:line>
            <v:line style="position:absolute" from="8527,7086" to="8527,334" stroked="true" strokeweight=".5pt" strokecolor="#231f20">
              <v:stroke dashstyle="solid"/>
            </v:line>
            <v:line style="position:absolute" from="992,7091" to="8532,7091" stroked="true" strokeweight=".5pt" strokecolor="#231f20">
              <v:stroke dashstyle="solid"/>
            </v:line>
            <v:shape style="position:absolute;left:3103;top:439;width:3317;height:6542" type="#_x0000_t75" stroked="false">
              <v:imagedata r:id="rId19" o:title=""/>
            </v:shape>
            <w10:wrap type="topAndBottom"/>
          </v:group>
        </w:pict>
      </w:r>
      <w:r>
        <w:rPr>
          <w:b/>
          <w:color w:val="231F20"/>
          <w:sz w:val="20"/>
        </w:rPr>
        <w:t>Şekil 4: İkinci Düzey Çok Faktörlü Doğrulayıcı Faktör Analizi Modeli</w:t>
      </w:r>
    </w:p>
    <w:p>
      <w:pPr>
        <w:pStyle w:val="BodyText"/>
        <w:spacing w:before="4"/>
        <w:rPr>
          <w:b/>
          <w:sz w:val="9"/>
        </w:rPr>
      </w:pPr>
    </w:p>
    <w:p>
      <w:pPr>
        <w:pStyle w:val="BodyText"/>
        <w:spacing w:line="249" w:lineRule="auto" w:before="63"/>
        <w:ind w:left="252" w:right="249" w:firstLine="567"/>
        <w:jc w:val="both"/>
      </w:pPr>
      <w:r>
        <w:rPr>
          <w:color w:val="231F20"/>
        </w:rPr>
        <w:t>Uyum geçerliği testi için her bir faktörün ayrı ayrı ortalama açıklanan varyans (AVE) ve bileşik güvenilirlik (CR) değerleri hesaplanmıştır. İyi bir uyum geçerliği için ölçüm mode- lindeki örtük değişkenlerin bileşik güvenilirlik değerinin 0,70 değerinden, ortalama açıklanan varyans değerinin ise 0,50 değerinden yüksek olması gerekmektedir (Hair vd., 2009; Fornell &amp; Larcker, 1981) Tablo 20’ de görüldüğü üzere bileşenlerin CR değerleri eşik değer olan 0,70 değerinin üzerinde; AVE değerleri eşik değer olan 0,50 değerinin üzerindedir. Faktör yükleri incelendiğinde, maddelerin faktör yüklerinin (en düşük 0,75-en yüksek 0,86) 0,60’ın üzerinde olduğu ve tüm korelasyon ilişkilerinin anlamlı olduğu görülmektedir. 0,60’dan yüksek faktör yüküne</w:t>
      </w:r>
      <w:r>
        <w:rPr>
          <w:color w:val="231F20"/>
          <w:spacing w:val="-10"/>
        </w:rPr>
        <w:t> </w:t>
      </w:r>
      <w:r>
        <w:rPr>
          <w:color w:val="231F20"/>
        </w:rPr>
        <w:t>sahip</w:t>
      </w:r>
      <w:r>
        <w:rPr>
          <w:color w:val="231F20"/>
          <w:spacing w:val="-9"/>
        </w:rPr>
        <w:t> </w:t>
      </w:r>
      <w:r>
        <w:rPr>
          <w:color w:val="231F20"/>
        </w:rPr>
        <w:t>olan</w:t>
      </w:r>
      <w:r>
        <w:rPr>
          <w:color w:val="231F20"/>
          <w:spacing w:val="-10"/>
        </w:rPr>
        <w:t> </w:t>
      </w:r>
      <w:r>
        <w:rPr>
          <w:color w:val="231F20"/>
        </w:rPr>
        <w:t>bir</w:t>
      </w:r>
      <w:r>
        <w:rPr>
          <w:color w:val="231F20"/>
          <w:spacing w:val="-9"/>
        </w:rPr>
        <w:t> </w:t>
      </w:r>
      <w:r>
        <w:rPr>
          <w:color w:val="231F20"/>
        </w:rPr>
        <w:t>maddenin</w:t>
      </w:r>
      <w:r>
        <w:rPr>
          <w:color w:val="231F20"/>
          <w:spacing w:val="-10"/>
        </w:rPr>
        <w:t> </w:t>
      </w:r>
      <w:r>
        <w:rPr>
          <w:color w:val="231F20"/>
        </w:rPr>
        <w:t>bir</w:t>
      </w:r>
      <w:r>
        <w:rPr>
          <w:color w:val="231F20"/>
          <w:spacing w:val="-9"/>
        </w:rPr>
        <w:t> </w:t>
      </w:r>
      <w:r>
        <w:rPr>
          <w:color w:val="231F20"/>
        </w:rPr>
        <w:t>yapıyı/faktörü</w:t>
      </w:r>
      <w:r>
        <w:rPr>
          <w:color w:val="231F20"/>
          <w:spacing w:val="-10"/>
        </w:rPr>
        <w:t> </w:t>
      </w:r>
      <w:r>
        <w:rPr>
          <w:color w:val="231F20"/>
        </w:rPr>
        <w:t>yüksek</w:t>
      </w:r>
      <w:r>
        <w:rPr>
          <w:color w:val="231F20"/>
          <w:spacing w:val="-9"/>
        </w:rPr>
        <w:t> </w:t>
      </w:r>
      <w:r>
        <w:rPr>
          <w:color w:val="231F20"/>
        </w:rPr>
        <w:t>derecede</w:t>
      </w:r>
      <w:r>
        <w:rPr>
          <w:color w:val="231F20"/>
          <w:spacing w:val="-9"/>
        </w:rPr>
        <w:t> </w:t>
      </w:r>
      <w:r>
        <w:rPr>
          <w:color w:val="231F20"/>
        </w:rPr>
        <w:t>ölçtüğü</w:t>
      </w:r>
      <w:r>
        <w:rPr>
          <w:color w:val="231F20"/>
          <w:spacing w:val="-10"/>
        </w:rPr>
        <w:t> </w:t>
      </w:r>
      <w:r>
        <w:rPr>
          <w:color w:val="231F20"/>
        </w:rPr>
        <w:t>çıkarımı</w:t>
      </w:r>
      <w:r>
        <w:rPr>
          <w:color w:val="231F20"/>
          <w:spacing w:val="-9"/>
        </w:rPr>
        <w:t> </w:t>
      </w:r>
      <w:r>
        <w:rPr>
          <w:color w:val="231F20"/>
        </w:rPr>
        <w:t>yapılabilir (Kline, 1994).</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Heading1"/>
        <w:spacing w:line="249" w:lineRule="auto" w:before="1"/>
        <w:ind w:right="755"/>
      </w:pPr>
      <w:r>
        <w:rPr/>
        <w:pict>
          <v:group style="position:absolute;margin-left:49.6063pt;margin-top:28.219936pt;width:377.05pt;height:.5pt;mso-position-horizontal-relative:page;mso-position-vertical-relative:paragraph;z-index:15747072" coordorigin="992,564" coordsize="7541,10">
            <v:line style="position:absolute" from="992,569" to="2183,569" stroked="true" strokeweight=".5pt" strokecolor="#231f20">
              <v:stroke dashstyle="solid"/>
            </v:line>
            <v:line style="position:absolute" from="2183,569" to="2863,569" stroked="true" strokeweight=".5pt" strokecolor="#231f20">
              <v:stroke dashstyle="solid"/>
            </v:line>
            <v:line style="position:absolute" from="2863,569" to="4394,569" stroked="true" strokeweight=".5pt" strokecolor="#231f20">
              <v:stroke dashstyle="solid"/>
            </v:line>
            <v:line style="position:absolute" from="4394,569" to="5244,569" stroked="true" strokeweight=".5pt" strokecolor="#231f20">
              <v:stroke dashstyle="solid"/>
            </v:line>
            <v:line style="position:absolute" from="5244,569" to="6094,569" stroked="true" strokeweight=".5pt" strokecolor="#231f20">
              <v:stroke dashstyle="solid"/>
            </v:line>
            <v:line style="position:absolute" from="6094,569" to="6548,569" stroked="true" strokeweight=".5pt" strokecolor="#231f20">
              <v:stroke dashstyle="solid"/>
            </v:line>
            <v:line style="position:absolute" from="6548,569" to="7512,569" stroked="true" strokeweight=".5pt" strokecolor="#231f20">
              <v:stroke dashstyle="solid"/>
            </v:line>
            <v:line style="position:absolute" from="7512,569" to="8532,569" stroked="true" strokeweight=".5pt" strokecolor="#231f20">
              <v:stroke dashstyle="solid"/>
            </v:line>
            <w10:wrap type="none"/>
          </v:group>
        </w:pict>
      </w:r>
      <w:r>
        <w:rPr>
          <w:color w:val="231F20"/>
        </w:rPr>
        <w:t>Tablo 6: Çevik Liderlik Becerisi Algısı Ölçeğine İlişkin Doğrulayıcı Faktör Analizi Sonuçları (n=3805)</w:t>
      </w:r>
    </w:p>
    <w:p>
      <w:pPr>
        <w:spacing w:after="0" w:line="249" w:lineRule="auto"/>
        <w:sectPr>
          <w:pgSz w:w="9530" w:h="13610"/>
          <w:pgMar w:header="700" w:footer="344" w:top="1060" w:bottom="540" w:left="740" w:right="740"/>
        </w:sectPr>
      </w:pPr>
    </w:p>
    <w:p>
      <w:pPr>
        <w:tabs>
          <w:tab w:pos="4045" w:val="left" w:leader="none"/>
          <w:tab w:pos="4874" w:val="left" w:leader="none"/>
        </w:tabs>
        <w:spacing w:line="132" w:lineRule="auto" w:before="162"/>
        <w:ind w:left="2443" w:right="0" w:firstLine="0"/>
        <w:jc w:val="left"/>
        <w:rPr>
          <w:b/>
          <w:sz w:val="20"/>
        </w:rPr>
      </w:pPr>
      <w:r>
        <w:rPr>
          <w:b/>
          <w:color w:val="231F20"/>
          <w:sz w:val="20"/>
        </w:rPr>
        <w:t>Parametre</w:t>
        <w:tab/>
      </w:r>
      <w:r>
        <w:rPr>
          <w:b/>
          <w:color w:val="231F20"/>
          <w:position w:val="-11"/>
          <w:sz w:val="20"/>
        </w:rPr>
        <w:t>t</w:t>
        <w:tab/>
      </w:r>
      <w:r>
        <w:rPr>
          <w:b/>
          <w:color w:val="231F20"/>
          <w:spacing w:val="-20"/>
          <w:position w:val="-11"/>
          <w:sz w:val="20"/>
        </w:rPr>
        <w:t>p</w:t>
      </w:r>
    </w:p>
    <w:p>
      <w:pPr>
        <w:spacing w:before="132"/>
        <w:ind w:left="810" w:right="0" w:firstLine="0"/>
        <w:jc w:val="left"/>
        <w:rPr>
          <w:b/>
          <w:sz w:val="20"/>
        </w:rPr>
      </w:pPr>
      <w:r>
        <w:rPr/>
        <w:br w:type="column"/>
      </w:r>
      <w:r>
        <w:rPr>
          <w:b/>
          <w:color w:val="231F20"/>
          <w:sz w:val="20"/>
        </w:rPr>
        <w:t>Composite Cronbach’s</w:t>
      </w:r>
    </w:p>
    <w:p>
      <w:pPr>
        <w:spacing w:after="0"/>
        <w:jc w:val="left"/>
        <w:rPr>
          <w:sz w:val="20"/>
        </w:rPr>
        <w:sectPr>
          <w:type w:val="continuous"/>
          <w:pgSz w:w="9530" w:h="13610"/>
          <w:pgMar w:top="620" w:bottom="540" w:left="740" w:right="740"/>
          <w:cols w:num="2" w:equalWidth="0">
            <w:col w:w="4985" w:space="40"/>
            <w:col w:w="3025"/>
          </w:cols>
        </w:sectPr>
      </w:pPr>
    </w:p>
    <w:p>
      <w:pPr>
        <w:tabs>
          <w:tab w:pos="1445" w:val="left" w:leader="none"/>
        </w:tabs>
        <w:spacing w:line="194" w:lineRule="exact" w:before="0"/>
        <w:ind w:left="331" w:right="0" w:firstLine="0"/>
        <w:jc w:val="left"/>
        <w:rPr>
          <w:b/>
          <w:sz w:val="20"/>
        </w:rPr>
      </w:pPr>
      <w:r>
        <w:rPr>
          <w:b/>
          <w:color w:val="231F20"/>
          <w:sz w:val="20"/>
        </w:rPr>
        <w:t>Faktörler</w:t>
        <w:tab/>
      </w:r>
      <w:r>
        <w:rPr>
          <w:b/>
          <w:color w:val="231F20"/>
          <w:spacing w:val="-3"/>
          <w:sz w:val="20"/>
        </w:rPr>
        <w:t>İfadeler</w:t>
      </w:r>
    </w:p>
    <w:p>
      <w:pPr>
        <w:spacing w:line="194" w:lineRule="exact" w:before="0"/>
        <w:ind w:left="20" w:right="0" w:firstLine="0"/>
        <w:jc w:val="center"/>
        <w:rPr>
          <w:b/>
          <w:sz w:val="20"/>
        </w:rPr>
      </w:pPr>
      <w:r>
        <w:rPr/>
        <w:br w:type="column"/>
      </w:r>
      <w:r>
        <w:rPr>
          <w:b/>
          <w:color w:val="231F20"/>
          <w:sz w:val="20"/>
        </w:rPr>
        <w:t>Tahminleri</w:t>
      </w:r>
    </w:p>
    <w:p>
      <w:pPr>
        <w:spacing w:before="10"/>
        <w:ind w:left="20" w:right="0" w:firstLine="0"/>
        <w:jc w:val="center"/>
        <w:rPr>
          <w:b/>
          <w:sz w:val="20"/>
        </w:rPr>
      </w:pPr>
      <w:r>
        <w:rPr>
          <w:b/>
          <w:color w:val="231F20"/>
          <w:sz w:val="20"/>
        </w:rPr>
        <w:t>(Faktör </w:t>
      </w:r>
      <w:r>
        <w:rPr>
          <w:b/>
          <w:color w:val="231F20"/>
          <w:spacing w:val="-3"/>
          <w:sz w:val="20"/>
        </w:rPr>
        <w:t>Yükleri)</w:t>
      </w:r>
    </w:p>
    <w:p>
      <w:pPr>
        <w:spacing w:line="259" w:lineRule="exact" w:before="0"/>
        <w:ind w:left="46" w:right="0" w:firstLine="0"/>
        <w:jc w:val="left"/>
        <w:rPr>
          <w:b/>
          <w:sz w:val="20"/>
        </w:rPr>
      </w:pPr>
      <w:r>
        <w:rPr/>
        <w:br w:type="column"/>
      </w:r>
      <w:r>
        <w:rPr>
          <w:b/>
          <w:color w:val="231F20"/>
          <w:sz w:val="20"/>
        </w:rPr>
        <w:t>Değerleri Değerleri </w:t>
      </w:r>
      <w:r>
        <w:rPr>
          <w:b/>
          <w:color w:val="231F20"/>
          <w:spacing w:val="-9"/>
          <w:position w:val="12"/>
          <w:sz w:val="20"/>
        </w:rPr>
        <w:t>AVE </w:t>
      </w:r>
      <w:r>
        <w:rPr>
          <w:b/>
          <w:color w:val="231F20"/>
          <w:position w:val="12"/>
          <w:sz w:val="20"/>
        </w:rPr>
        <w:t>Reliability</w:t>
      </w:r>
    </w:p>
    <w:p>
      <w:pPr>
        <w:spacing w:line="175" w:lineRule="exact" w:before="0"/>
        <w:ind w:left="0" w:right="231" w:firstLine="0"/>
        <w:jc w:val="right"/>
        <w:rPr>
          <w:b/>
          <w:sz w:val="20"/>
        </w:rPr>
      </w:pPr>
      <w:r>
        <w:rPr>
          <w:b/>
          <w:color w:val="231F20"/>
          <w:sz w:val="20"/>
        </w:rPr>
        <w:t>(CR)</w:t>
      </w:r>
    </w:p>
    <w:p>
      <w:pPr>
        <w:spacing w:line="194" w:lineRule="exact" w:before="0"/>
        <w:ind w:left="230" w:right="482" w:firstLine="0"/>
        <w:jc w:val="center"/>
        <w:rPr>
          <w:b/>
          <w:sz w:val="20"/>
        </w:rPr>
      </w:pPr>
      <w:r>
        <w:rPr/>
        <w:br w:type="column"/>
      </w:r>
      <w:r>
        <w:rPr>
          <w:b/>
          <w:color w:val="231F20"/>
          <w:sz w:val="20"/>
        </w:rPr>
        <w:t>Alpha</w:t>
      </w:r>
    </w:p>
    <w:p>
      <w:pPr>
        <w:spacing w:before="10"/>
        <w:ind w:left="230" w:right="482" w:firstLine="0"/>
        <w:jc w:val="center"/>
        <w:rPr>
          <w:b/>
          <w:sz w:val="20"/>
        </w:rPr>
      </w:pPr>
      <w:r>
        <w:rPr>
          <w:b/>
          <w:color w:val="231F20"/>
          <w:w w:val="105"/>
          <w:sz w:val="20"/>
        </w:rPr>
        <w:t>(α)</w:t>
      </w:r>
    </w:p>
    <w:p>
      <w:pPr>
        <w:spacing w:after="0"/>
        <w:jc w:val="center"/>
        <w:rPr>
          <w:sz w:val="20"/>
        </w:rPr>
        <w:sectPr>
          <w:type w:val="continuous"/>
          <w:pgSz w:w="9530" w:h="13610"/>
          <w:pgMar w:top="620" w:bottom="540" w:left="740" w:right="740"/>
          <w:cols w:num="4" w:equalWidth="0">
            <w:col w:w="2124" w:space="40"/>
            <w:col w:w="1430" w:space="39"/>
            <w:col w:w="3101" w:space="40"/>
            <w:col w:w="1276"/>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8"/>
        </w:rPr>
      </w:pPr>
    </w:p>
    <w:p>
      <w:pPr>
        <w:pStyle w:val="BodyText"/>
        <w:ind w:left="331"/>
      </w:pPr>
      <w:r>
        <w:rPr/>
        <w:pict>
          <v:shape style="position:absolute;margin-left:49.6063pt;margin-top:-147.065063pt;width:377.05pt;height:355.35pt;mso-position-horizontal-relative:page;mso-position-vertical-relative:paragraph;z-index:157475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869"/>
                    <w:gridCol w:w="1151"/>
                    <w:gridCol w:w="1109"/>
                    <w:gridCol w:w="787"/>
                    <w:gridCol w:w="582"/>
                    <w:gridCol w:w="851"/>
                    <w:gridCol w:w="1007"/>
                  </w:tblGrid>
                  <w:tr>
                    <w:trPr>
                      <w:trHeight w:val="301" w:hRule="atLeast"/>
                    </w:trPr>
                    <w:tc>
                      <w:tcPr>
                        <w:tcW w:w="1191" w:type="dxa"/>
                        <w:vMerge w:val="restart"/>
                        <w:tcBorders>
                          <w:top w:val="single" w:sz="4" w:space="0" w:color="231F20"/>
                        </w:tcBorders>
                      </w:tcPr>
                      <w:p>
                        <w:pPr>
                          <w:pStyle w:val="TableParagraph"/>
                          <w:spacing w:before="0"/>
                          <w:rPr>
                            <w:sz w:val="18"/>
                          </w:rPr>
                        </w:pPr>
                      </w:p>
                    </w:tc>
                    <w:tc>
                      <w:tcPr>
                        <w:tcW w:w="869" w:type="dxa"/>
                        <w:tcBorders>
                          <w:top w:val="single" w:sz="4" w:space="0" w:color="231F20"/>
                          <w:bottom w:val="single" w:sz="2" w:space="0" w:color="231F20"/>
                        </w:tcBorders>
                      </w:tcPr>
                      <w:p>
                        <w:pPr>
                          <w:pStyle w:val="TableParagraph"/>
                          <w:spacing w:before="37"/>
                          <w:ind w:right="404"/>
                          <w:jc w:val="right"/>
                          <w:rPr>
                            <w:sz w:val="20"/>
                          </w:rPr>
                        </w:pPr>
                        <w:r>
                          <w:rPr>
                            <w:color w:val="231F20"/>
                            <w:sz w:val="20"/>
                          </w:rPr>
                          <w:t>Y1</w:t>
                        </w:r>
                      </w:p>
                    </w:tc>
                    <w:tc>
                      <w:tcPr>
                        <w:tcW w:w="1151" w:type="dxa"/>
                        <w:tcBorders>
                          <w:top w:val="single" w:sz="4" w:space="0" w:color="231F20"/>
                          <w:bottom w:val="single" w:sz="2" w:space="0" w:color="231F20"/>
                        </w:tcBorders>
                      </w:tcPr>
                      <w:p>
                        <w:pPr>
                          <w:pStyle w:val="TableParagraph"/>
                          <w:spacing w:before="37"/>
                          <w:ind w:left="327" w:right="326"/>
                          <w:jc w:val="center"/>
                          <w:rPr>
                            <w:sz w:val="20"/>
                          </w:rPr>
                        </w:pPr>
                        <w:r>
                          <w:rPr>
                            <w:color w:val="231F20"/>
                            <w:sz w:val="20"/>
                          </w:rPr>
                          <w:t>0,811</w:t>
                        </w:r>
                      </w:p>
                    </w:tc>
                    <w:tc>
                      <w:tcPr>
                        <w:tcW w:w="1109" w:type="dxa"/>
                        <w:tcBorders>
                          <w:top w:val="single" w:sz="4" w:space="0" w:color="231F20"/>
                          <w:bottom w:val="single" w:sz="2" w:space="0" w:color="231F20"/>
                        </w:tcBorders>
                      </w:tcPr>
                      <w:p>
                        <w:pPr>
                          <w:pStyle w:val="TableParagraph"/>
                          <w:spacing w:before="37"/>
                          <w:ind w:left="122"/>
                          <w:jc w:val="center"/>
                          <w:rPr>
                            <w:sz w:val="20"/>
                          </w:rPr>
                        </w:pPr>
                        <w:r>
                          <w:rPr>
                            <w:color w:val="231F20"/>
                            <w:sz w:val="20"/>
                          </w:rPr>
                          <w:t>-</w:t>
                        </w:r>
                      </w:p>
                    </w:tc>
                    <w:tc>
                      <w:tcPr>
                        <w:tcW w:w="787" w:type="dxa"/>
                        <w:tcBorders>
                          <w:top w:val="single" w:sz="4" w:space="0" w:color="231F20"/>
                          <w:bottom w:val="single" w:sz="2" w:space="0" w:color="231F20"/>
                        </w:tcBorders>
                      </w:tcPr>
                      <w:p>
                        <w:pPr>
                          <w:pStyle w:val="TableParagraph"/>
                          <w:spacing w:before="37"/>
                          <w:ind w:right="70"/>
                          <w:jc w:val="center"/>
                          <w:rPr>
                            <w:sz w:val="20"/>
                          </w:rPr>
                        </w:pPr>
                        <w:r>
                          <w:rPr>
                            <w:color w:val="231F20"/>
                            <w:sz w:val="20"/>
                          </w:rPr>
                          <w:t>-</w:t>
                        </w:r>
                      </w:p>
                    </w:tc>
                    <w:tc>
                      <w:tcPr>
                        <w:tcW w:w="2440" w:type="dxa"/>
                        <w:gridSpan w:val="3"/>
                        <w:vMerge w:val="restart"/>
                        <w:tcBorders>
                          <w:top w:val="single" w:sz="4" w:space="0" w:color="231F20"/>
                        </w:tcBorders>
                      </w:tcPr>
                      <w:p>
                        <w:pPr>
                          <w:pStyle w:val="TableParagraph"/>
                          <w:spacing w:before="0"/>
                          <w:rPr>
                            <w:sz w:val="18"/>
                          </w:rPr>
                        </w:pPr>
                      </w:p>
                    </w:tc>
                  </w:tr>
                  <w:tr>
                    <w:trPr>
                      <w:trHeight w:val="303" w:hRule="atLeast"/>
                    </w:trPr>
                    <w:tc>
                      <w:tcPr>
                        <w:tcW w:w="1191" w:type="dxa"/>
                        <w:vMerge/>
                        <w:tcBorders>
                          <w:top w:val="nil"/>
                        </w:tcBorders>
                      </w:tcPr>
                      <w:p>
                        <w:pPr>
                          <w:rPr>
                            <w:sz w:val="2"/>
                            <w:szCs w:val="2"/>
                          </w:rPr>
                        </w:pPr>
                      </w:p>
                    </w:tc>
                    <w:tc>
                      <w:tcPr>
                        <w:tcW w:w="869" w:type="dxa"/>
                        <w:tcBorders>
                          <w:top w:val="single" w:sz="2" w:space="0" w:color="231F20"/>
                          <w:bottom w:val="single" w:sz="2" w:space="0" w:color="231F20"/>
                        </w:tcBorders>
                      </w:tcPr>
                      <w:p>
                        <w:pPr>
                          <w:pStyle w:val="TableParagraph"/>
                          <w:ind w:right="404"/>
                          <w:jc w:val="right"/>
                          <w:rPr>
                            <w:sz w:val="20"/>
                          </w:rPr>
                        </w:pPr>
                        <w:r>
                          <w:rPr>
                            <w:color w:val="231F20"/>
                            <w:sz w:val="20"/>
                          </w:rPr>
                          <w:t>Y2</w:t>
                        </w:r>
                      </w:p>
                    </w:tc>
                    <w:tc>
                      <w:tcPr>
                        <w:tcW w:w="1151" w:type="dxa"/>
                        <w:tcBorders>
                          <w:top w:val="single" w:sz="2" w:space="0" w:color="231F20"/>
                          <w:bottom w:val="single" w:sz="2" w:space="0" w:color="231F20"/>
                        </w:tcBorders>
                      </w:tcPr>
                      <w:p>
                        <w:pPr>
                          <w:pStyle w:val="TableParagraph"/>
                          <w:ind w:left="327" w:right="326"/>
                          <w:jc w:val="center"/>
                          <w:rPr>
                            <w:sz w:val="20"/>
                          </w:rPr>
                        </w:pPr>
                        <w:r>
                          <w:rPr>
                            <w:color w:val="231F20"/>
                            <w:sz w:val="20"/>
                          </w:rPr>
                          <w:t>0,799</w:t>
                        </w:r>
                      </w:p>
                    </w:tc>
                    <w:tc>
                      <w:tcPr>
                        <w:tcW w:w="1109" w:type="dxa"/>
                        <w:tcBorders>
                          <w:top w:val="single" w:sz="2" w:space="0" w:color="231F20"/>
                          <w:bottom w:val="single" w:sz="2" w:space="0" w:color="231F20"/>
                        </w:tcBorders>
                      </w:tcPr>
                      <w:p>
                        <w:pPr>
                          <w:pStyle w:val="TableParagraph"/>
                          <w:ind w:left="317" w:right="194"/>
                          <w:jc w:val="center"/>
                          <w:rPr>
                            <w:sz w:val="20"/>
                          </w:rPr>
                        </w:pPr>
                        <w:r>
                          <w:rPr>
                            <w:color w:val="231F20"/>
                            <w:sz w:val="20"/>
                          </w:rPr>
                          <w:t>58,416</w:t>
                        </w:r>
                      </w:p>
                    </w:tc>
                    <w:tc>
                      <w:tcPr>
                        <w:tcW w:w="787" w:type="dxa"/>
                        <w:tcBorders>
                          <w:top w:val="single" w:sz="2" w:space="0" w:color="231F20"/>
                          <w:bottom w:val="single" w:sz="2" w:space="0" w:color="231F20"/>
                        </w:tcBorders>
                      </w:tcPr>
                      <w:p>
                        <w:pPr>
                          <w:pStyle w:val="TableParagraph"/>
                          <w:ind w:left="184"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vMerge/>
                        <w:tcBorders>
                          <w:top w:val="nil"/>
                        </w:tcBorders>
                      </w:tcPr>
                      <w:p>
                        <w:pPr>
                          <w:rPr>
                            <w:sz w:val="2"/>
                            <w:szCs w:val="2"/>
                          </w:rPr>
                        </w:pPr>
                      </w:p>
                    </w:tc>
                    <w:tc>
                      <w:tcPr>
                        <w:tcW w:w="869" w:type="dxa"/>
                        <w:tcBorders>
                          <w:top w:val="single" w:sz="2" w:space="0" w:color="231F20"/>
                          <w:bottom w:val="single" w:sz="2" w:space="0" w:color="231F20"/>
                        </w:tcBorders>
                      </w:tcPr>
                      <w:p>
                        <w:pPr>
                          <w:pStyle w:val="TableParagraph"/>
                          <w:ind w:right="404"/>
                          <w:jc w:val="right"/>
                          <w:rPr>
                            <w:sz w:val="20"/>
                          </w:rPr>
                        </w:pPr>
                        <w:r>
                          <w:rPr>
                            <w:color w:val="231F20"/>
                            <w:sz w:val="20"/>
                          </w:rPr>
                          <w:t>Y3</w:t>
                        </w:r>
                      </w:p>
                    </w:tc>
                    <w:tc>
                      <w:tcPr>
                        <w:tcW w:w="1151" w:type="dxa"/>
                        <w:tcBorders>
                          <w:top w:val="single" w:sz="2" w:space="0" w:color="231F20"/>
                          <w:bottom w:val="single" w:sz="2" w:space="0" w:color="231F20"/>
                        </w:tcBorders>
                      </w:tcPr>
                      <w:p>
                        <w:pPr>
                          <w:pStyle w:val="TableParagraph"/>
                          <w:ind w:left="328" w:right="326"/>
                          <w:jc w:val="center"/>
                          <w:rPr>
                            <w:sz w:val="20"/>
                          </w:rPr>
                        </w:pPr>
                        <w:r>
                          <w:rPr>
                            <w:color w:val="231F20"/>
                            <w:sz w:val="20"/>
                          </w:rPr>
                          <w:t>0,817</w:t>
                        </w:r>
                      </w:p>
                    </w:tc>
                    <w:tc>
                      <w:tcPr>
                        <w:tcW w:w="1109" w:type="dxa"/>
                        <w:tcBorders>
                          <w:top w:val="single" w:sz="2" w:space="0" w:color="231F20"/>
                          <w:bottom w:val="single" w:sz="2" w:space="0" w:color="231F20"/>
                        </w:tcBorders>
                      </w:tcPr>
                      <w:p>
                        <w:pPr>
                          <w:pStyle w:val="TableParagraph"/>
                          <w:ind w:left="317" w:right="194"/>
                          <w:jc w:val="center"/>
                          <w:rPr>
                            <w:sz w:val="20"/>
                          </w:rPr>
                        </w:pPr>
                        <w:r>
                          <w:rPr>
                            <w:color w:val="231F20"/>
                            <w:sz w:val="20"/>
                          </w:rPr>
                          <w:t>60,317</w:t>
                        </w:r>
                      </w:p>
                    </w:tc>
                    <w:tc>
                      <w:tcPr>
                        <w:tcW w:w="787" w:type="dxa"/>
                        <w:tcBorders>
                          <w:top w:val="single" w:sz="2" w:space="0" w:color="231F20"/>
                          <w:bottom w:val="single" w:sz="2" w:space="0" w:color="231F20"/>
                        </w:tcBorders>
                      </w:tcPr>
                      <w:p>
                        <w:pPr>
                          <w:pStyle w:val="TableParagraph"/>
                          <w:ind w:left="185"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vMerge/>
                        <w:tcBorders>
                          <w:top w:val="nil"/>
                        </w:tcBorders>
                      </w:tcPr>
                      <w:p>
                        <w:pPr>
                          <w:rPr>
                            <w:sz w:val="2"/>
                            <w:szCs w:val="2"/>
                          </w:rPr>
                        </w:pPr>
                      </w:p>
                    </w:tc>
                    <w:tc>
                      <w:tcPr>
                        <w:tcW w:w="869" w:type="dxa"/>
                        <w:tcBorders>
                          <w:top w:val="single" w:sz="2" w:space="0" w:color="231F20"/>
                          <w:bottom w:val="single" w:sz="2" w:space="0" w:color="231F20"/>
                        </w:tcBorders>
                      </w:tcPr>
                      <w:p>
                        <w:pPr>
                          <w:pStyle w:val="TableParagraph"/>
                          <w:ind w:right="404"/>
                          <w:jc w:val="right"/>
                          <w:rPr>
                            <w:sz w:val="20"/>
                          </w:rPr>
                        </w:pPr>
                        <w:r>
                          <w:rPr>
                            <w:color w:val="231F20"/>
                            <w:sz w:val="20"/>
                          </w:rPr>
                          <w:t>Y4</w:t>
                        </w:r>
                      </w:p>
                    </w:tc>
                    <w:tc>
                      <w:tcPr>
                        <w:tcW w:w="1151" w:type="dxa"/>
                        <w:tcBorders>
                          <w:top w:val="single" w:sz="2" w:space="0" w:color="231F20"/>
                          <w:bottom w:val="single" w:sz="2" w:space="0" w:color="231F20"/>
                        </w:tcBorders>
                      </w:tcPr>
                      <w:p>
                        <w:pPr>
                          <w:pStyle w:val="TableParagraph"/>
                          <w:ind w:left="328" w:right="326"/>
                          <w:jc w:val="center"/>
                          <w:rPr>
                            <w:sz w:val="20"/>
                          </w:rPr>
                        </w:pPr>
                        <w:r>
                          <w:rPr>
                            <w:color w:val="231F20"/>
                            <w:sz w:val="20"/>
                          </w:rPr>
                          <w:t>0,832</w:t>
                        </w:r>
                      </w:p>
                    </w:tc>
                    <w:tc>
                      <w:tcPr>
                        <w:tcW w:w="1109" w:type="dxa"/>
                        <w:tcBorders>
                          <w:top w:val="single" w:sz="2" w:space="0" w:color="231F20"/>
                          <w:bottom w:val="single" w:sz="2" w:space="0" w:color="231F20"/>
                        </w:tcBorders>
                      </w:tcPr>
                      <w:p>
                        <w:pPr>
                          <w:pStyle w:val="TableParagraph"/>
                          <w:ind w:left="317" w:right="194"/>
                          <w:jc w:val="center"/>
                          <w:rPr>
                            <w:sz w:val="20"/>
                          </w:rPr>
                        </w:pPr>
                        <w:r>
                          <w:rPr>
                            <w:color w:val="231F20"/>
                            <w:sz w:val="20"/>
                          </w:rPr>
                          <w:t>61,975</w:t>
                        </w:r>
                      </w:p>
                    </w:tc>
                    <w:tc>
                      <w:tcPr>
                        <w:tcW w:w="787" w:type="dxa"/>
                        <w:tcBorders>
                          <w:top w:val="single" w:sz="2" w:space="0" w:color="231F20"/>
                          <w:bottom w:val="single" w:sz="2" w:space="0" w:color="231F20"/>
                        </w:tcBorders>
                      </w:tcPr>
                      <w:p>
                        <w:pPr>
                          <w:pStyle w:val="TableParagraph"/>
                          <w:ind w:left="185"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vMerge/>
                        <w:tcBorders>
                          <w:top w:val="nil"/>
                        </w:tcBorders>
                      </w:tcPr>
                      <w:p>
                        <w:pPr>
                          <w:rPr>
                            <w:sz w:val="2"/>
                            <w:szCs w:val="2"/>
                          </w:rPr>
                        </w:pPr>
                      </w:p>
                    </w:tc>
                    <w:tc>
                      <w:tcPr>
                        <w:tcW w:w="869" w:type="dxa"/>
                        <w:tcBorders>
                          <w:top w:val="single" w:sz="2" w:space="0" w:color="231F20"/>
                          <w:bottom w:val="single" w:sz="2" w:space="0" w:color="231F20"/>
                        </w:tcBorders>
                      </w:tcPr>
                      <w:p>
                        <w:pPr>
                          <w:pStyle w:val="TableParagraph"/>
                          <w:ind w:right="404"/>
                          <w:jc w:val="right"/>
                          <w:rPr>
                            <w:sz w:val="20"/>
                          </w:rPr>
                        </w:pPr>
                        <w:r>
                          <w:rPr>
                            <w:color w:val="231F20"/>
                            <w:sz w:val="20"/>
                          </w:rPr>
                          <w:t>Y5</w:t>
                        </w:r>
                      </w:p>
                    </w:tc>
                    <w:tc>
                      <w:tcPr>
                        <w:tcW w:w="1151" w:type="dxa"/>
                        <w:tcBorders>
                          <w:top w:val="single" w:sz="2" w:space="0" w:color="231F20"/>
                          <w:bottom w:val="single" w:sz="2" w:space="0" w:color="231F20"/>
                        </w:tcBorders>
                      </w:tcPr>
                      <w:p>
                        <w:pPr>
                          <w:pStyle w:val="TableParagraph"/>
                          <w:ind w:left="329" w:right="326"/>
                          <w:jc w:val="center"/>
                          <w:rPr>
                            <w:sz w:val="20"/>
                          </w:rPr>
                        </w:pPr>
                        <w:r>
                          <w:rPr>
                            <w:color w:val="231F20"/>
                            <w:sz w:val="20"/>
                          </w:rPr>
                          <w:t>0,758</w:t>
                        </w:r>
                      </w:p>
                    </w:tc>
                    <w:tc>
                      <w:tcPr>
                        <w:tcW w:w="1109" w:type="dxa"/>
                        <w:tcBorders>
                          <w:top w:val="single" w:sz="2" w:space="0" w:color="231F20"/>
                          <w:bottom w:val="single" w:sz="2" w:space="0" w:color="231F20"/>
                        </w:tcBorders>
                      </w:tcPr>
                      <w:p>
                        <w:pPr>
                          <w:pStyle w:val="TableParagraph"/>
                          <w:ind w:left="318" w:right="194"/>
                          <w:jc w:val="center"/>
                          <w:rPr>
                            <w:sz w:val="20"/>
                          </w:rPr>
                        </w:pPr>
                        <w:r>
                          <w:rPr>
                            <w:color w:val="231F20"/>
                            <w:sz w:val="20"/>
                          </w:rPr>
                          <w:t>54,299</w:t>
                        </w:r>
                      </w:p>
                    </w:tc>
                    <w:tc>
                      <w:tcPr>
                        <w:tcW w:w="787" w:type="dxa"/>
                        <w:tcBorders>
                          <w:top w:val="single" w:sz="2" w:space="0" w:color="231F20"/>
                          <w:bottom w:val="single" w:sz="2" w:space="0" w:color="231F20"/>
                        </w:tcBorders>
                      </w:tcPr>
                      <w:p>
                        <w:pPr>
                          <w:pStyle w:val="TableParagraph"/>
                          <w:ind w:left="186"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vMerge/>
                        <w:tcBorders>
                          <w:top w:val="nil"/>
                        </w:tcBorders>
                      </w:tcPr>
                      <w:p>
                        <w:pPr>
                          <w:rPr>
                            <w:sz w:val="2"/>
                            <w:szCs w:val="2"/>
                          </w:rPr>
                        </w:pPr>
                      </w:p>
                    </w:tc>
                    <w:tc>
                      <w:tcPr>
                        <w:tcW w:w="869" w:type="dxa"/>
                        <w:tcBorders>
                          <w:top w:val="single" w:sz="2" w:space="0" w:color="231F20"/>
                          <w:bottom w:val="single" w:sz="2" w:space="0" w:color="231F20"/>
                        </w:tcBorders>
                      </w:tcPr>
                      <w:p>
                        <w:pPr>
                          <w:pStyle w:val="TableParagraph"/>
                          <w:ind w:right="404"/>
                          <w:jc w:val="right"/>
                          <w:rPr>
                            <w:sz w:val="20"/>
                          </w:rPr>
                        </w:pPr>
                        <w:r>
                          <w:rPr>
                            <w:color w:val="231F20"/>
                            <w:sz w:val="20"/>
                          </w:rPr>
                          <w:t>Y6</w:t>
                        </w:r>
                      </w:p>
                    </w:tc>
                    <w:tc>
                      <w:tcPr>
                        <w:tcW w:w="1151" w:type="dxa"/>
                        <w:tcBorders>
                          <w:top w:val="single" w:sz="2" w:space="0" w:color="231F20"/>
                          <w:bottom w:val="single" w:sz="2" w:space="0" w:color="231F20"/>
                        </w:tcBorders>
                      </w:tcPr>
                      <w:p>
                        <w:pPr>
                          <w:pStyle w:val="TableParagraph"/>
                          <w:ind w:left="329" w:right="326"/>
                          <w:jc w:val="center"/>
                          <w:rPr>
                            <w:sz w:val="20"/>
                          </w:rPr>
                        </w:pPr>
                        <w:r>
                          <w:rPr>
                            <w:color w:val="231F20"/>
                            <w:sz w:val="20"/>
                          </w:rPr>
                          <w:t>0,852</w:t>
                        </w:r>
                      </w:p>
                    </w:tc>
                    <w:tc>
                      <w:tcPr>
                        <w:tcW w:w="1109" w:type="dxa"/>
                        <w:tcBorders>
                          <w:top w:val="single" w:sz="2" w:space="0" w:color="231F20"/>
                          <w:bottom w:val="single" w:sz="2" w:space="0" w:color="231F20"/>
                        </w:tcBorders>
                      </w:tcPr>
                      <w:p>
                        <w:pPr>
                          <w:pStyle w:val="TableParagraph"/>
                          <w:ind w:left="318" w:right="194"/>
                          <w:jc w:val="center"/>
                          <w:rPr>
                            <w:sz w:val="20"/>
                          </w:rPr>
                        </w:pPr>
                        <w:r>
                          <w:rPr>
                            <w:color w:val="231F20"/>
                            <w:sz w:val="20"/>
                          </w:rPr>
                          <w:t>64,300</w:t>
                        </w:r>
                      </w:p>
                    </w:tc>
                    <w:tc>
                      <w:tcPr>
                        <w:tcW w:w="787" w:type="dxa"/>
                        <w:tcBorders>
                          <w:top w:val="single" w:sz="2" w:space="0" w:color="231F20"/>
                          <w:bottom w:val="single" w:sz="2" w:space="0" w:color="231F20"/>
                        </w:tcBorders>
                      </w:tcPr>
                      <w:p>
                        <w:pPr>
                          <w:pStyle w:val="TableParagraph"/>
                          <w:ind w:left="186"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vMerge/>
                        <w:tcBorders>
                          <w:top w:val="nil"/>
                        </w:tcBorders>
                      </w:tcPr>
                      <w:p>
                        <w:pPr>
                          <w:rPr>
                            <w:sz w:val="2"/>
                            <w:szCs w:val="2"/>
                          </w:rPr>
                        </w:pPr>
                      </w:p>
                    </w:tc>
                    <w:tc>
                      <w:tcPr>
                        <w:tcW w:w="869" w:type="dxa"/>
                        <w:tcBorders>
                          <w:top w:val="single" w:sz="2" w:space="0" w:color="231F20"/>
                          <w:bottom w:val="single" w:sz="2" w:space="0" w:color="231F20"/>
                        </w:tcBorders>
                      </w:tcPr>
                      <w:p>
                        <w:pPr>
                          <w:pStyle w:val="TableParagraph"/>
                          <w:ind w:right="403"/>
                          <w:jc w:val="right"/>
                          <w:rPr>
                            <w:sz w:val="20"/>
                          </w:rPr>
                        </w:pPr>
                        <w:r>
                          <w:rPr>
                            <w:color w:val="231F20"/>
                            <w:sz w:val="20"/>
                          </w:rPr>
                          <w:t>Y7</w:t>
                        </w:r>
                      </w:p>
                    </w:tc>
                    <w:tc>
                      <w:tcPr>
                        <w:tcW w:w="1151" w:type="dxa"/>
                        <w:tcBorders>
                          <w:top w:val="single" w:sz="2" w:space="0" w:color="231F20"/>
                          <w:bottom w:val="single" w:sz="2" w:space="0" w:color="231F20"/>
                        </w:tcBorders>
                      </w:tcPr>
                      <w:p>
                        <w:pPr>
                          <w:pStyle w:val="TableParagraph"/>
                          <w:ind w:left="329" w:right="326"/>
                          <w:jc w:val="center"/>
                          <w:rPr>
                            <w:sz w:val="20"/>
                          </w:rPr>
                        </w:pPr>
                        <w:r>
                          <w:rPr>
                            <w:color w:val="231F20"/>
                            <w:sz w:val="20"/>
                          </w:rPr>
                          <w:t>0,844</w:t>
                        </w:r>
                      </w:p>
                    </w:tc>
                    <w:tc>
                      <w:tcPr>
                        <w:tcW w:w="1109" w:type="dxa"/>
                        <w:tcBorders>
                          <w:top w:val="single" w:sz="2" w:space="0" w:color="231F20"/>
                          <w:bottom w:val="single" w:sz="2" w:space="0" w:color="231F20"/>
                        </w:tcBorders>
                      </w:tcPr>
                      <w:p>
                        <w:pPr>
                          <w:pStyle w:val="TableParagraph"/>
                          <w:ind w:left="319" w:right="194"/>
                          <w:jc w:val="center"/>
                          <w:rPr>
                            <w:sz w:val="20"/>
                          </w:rPr>
                        </w:pPr>
                        <w:r>
                          <w:rPr>
                            <w:color w:val="231F20"/>
                            <w:sz w:val="20"/>
                          </w:rPr>
                          <w:t>63,353</w:t>
                        </w:r>
                      </w:p>
                    </w:tc>
                    <w:tc>
                      <w:tcPr>
                        <w:tcW w:w="787" w:type="dxa"/>
                        <w:tcBorders>
                          <w:top w:val="single" w:sz="2" w:space="0" w:color="231F20"/>
                          <w:bottom w:val="single" w:sz="2" w:space="0" w:color="231F20"/>
                        </w:tcBorders>
                      </w:tcPr>
                      <w:p>
                        <w:pPr>
                          <w:pStyle w:val="TableParagraph"/>
                          <w:ind w:left="186"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tcPr>
                      <w:p>
                        <w:pPr>
                          <w:pStyle w:val="TableParagraph"/>
                          <w:spacing w:line="226" w:lineRule="exact" w:before="57"/>
                          <w:ind w:left="79"/>
                          <w:rPr>
                            <w:sz w:val="20"/>
                          </w:rPr>
                        </w:pPr>
                        <w:r>
                          <w:rPr>
                            <w:color w:val="231F20"/>
                            <w:sz w:val="20"/>
                          </w:rPr>
                          <w:t>Bileşen 1:</w:t>
                        </w:r>
                      </w:p>
                    </w:tc>
                    <w:tc>
                      <w:tcPr>
                        <w:tcW w:w="869" w:type="dxa"/>
                        <w:tcBorders>
                          <w:top w:val="single" w:sz="2" w:space="0" w:color="231F20"/>
                          <w:bottom w:val="single" w:sz="2" w:space="0" w:color="231F20"/>
                        </w:tcBorders>
                      </w:tcPr>
                      <w:p>
                        <w:pPr>
                          <w:pStyle w:val="TableParagraph"/>
                          <w:ind w:right="403"/>
                          <w:jc w:val="right"/>
                          <w:rPr>
                            <w:sz w:val="20"/>
                          </w:rPr>
                        </w:pPr>
                        <w:r>
                          <w:rPr>
                            <w:color w:val="231F20"/>
                            <w:sz w:val="20"/>
                          </w:rPr>
                          <w:t>Y8</w:t>
                        </w:r>
                      </w:p>
                    </w:tc>
                    <w:tc>
                      <w:tcPr>
                        <w:tcW w:w="1151" w:type="dxa"/>
                        <w:tcBorders>
                          <w:top w:val="single" w:sz="2" w:space="0" w:color="231F20"/>
                          <w:bottom w:val="single" w:sz="2" w:space="0" w:color="231F20"/>
                        </w:tcBorders>
                      </w:tcPr>
                      <w:p>
                        <w:pPr>
                          <w:pStyle w:val="TableParagraph"/>
                          <w:ind w:left="330" w:right="326"/>
                          <w:jc w:val="center"/>
                          <w:rPr>
                            <w:sz w:val="20"/>
                          </w:rPr>
                        </w:pPr>
                        <w:r>
                          <w:rPr>
                            <w:color w:val="231F20"/>
                            <w:sz w:val="20"/>
                          </w:rPr>
                          <w:t>0,857</w:t>
                        </w:r>
                      </w:p>
                    </w:tc>
                    <w:tc>
                      <w:tcPr>
                        <w:tcW w:w="1109" w:type="dxa"/>
                        <w:tcBorders>
                          <w:top w:val="single" w:sz="2" w:space="0" w:color="231F20"/>
                          <w:bottom w:val="single" w:sz="2" w:space="0" w:color="231F20"/>
                        </w:tcBorders>
                      </w:tcPr>
                      <w:p>
                        <w:pPr>
                          <w:pStyle w:val="TableParagraph"/>
                          <w:ind w:left="319" w:right="194"/>
                          <w:jc w:val="center"/>
                          <w:rPr>
                            <w:sz w:val="20"/>
                          </w:rPr>
                        </w:pPr>
                        <w:r>
                          <w:rPr>
                            <w:color w:val="231F20"/>
                            <w:sz w:val="20"/>
                          </w:rPr>
                          <w:t>64,843</w:t>
                        </w:r>
                      </w:p>
                    </w:tc>
                    <w:tc>
                      <w:tcPr>
                        <w:tcW w:w="787" w:type="dxa"/>
                        <w:tcBorders>
                          <w:top w:val="single" w:sz="2" w:space="0" w:color="231F20"/>
                          <w:bottom w:val="single" w:sz="2" w:space="0" w:color="231F20"/>
                        </w:tcBorders>
                      </w:tcPr>
                      <w:p>
                        <w:pPr>
                          <w:pStyle w:val="TableParagraph"/>
                          <w:ind w:left="187"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tcPr>
                      <w:p>
                        <w:pPr>
                          <w:pStyle w:val="TableParagraph"/>
                          <w:spacing w:line="219" w:lineRule="exact" w:before="0"/>
                          <w:ind w:left="79"/>
                          <w:rPr>
                            <w:sz w:val="20"/>
                          </w:rPr>
                        </w:pPr>
                        <w:r>
                          <w:rPr>
                            <w:color w:val="231F20"/>
                            <w:sz w:val="20"/>
                          </w:rPr>
                          <w:t>Yöneltmede</w:t>
                        </w:r>
                      </w:p>
                    </w:tc>
                    <w:tc>
                      <w:tcPr>
                        <w:tcW w:w="869" w:type="dxa"/>
                        <w:tcBorders>
                          <w:top w:val="single" w:sz="2" w:space="0" w:color="231F20"/>
                          <w:bottom w:val="single" w:sz="2" w:space="0" w:color="231F20"/>
                        </w:tcBorders>
                      </w:tcPr>
                      <w:p>
                        <w:pPr>
                          <w:pStyle w:val="TableParagraph"/>
                          <w:ind w:right="403"/>
                          <w:jc w:val="right"/>
                          <w:rPr>
                            <w:sz w:val="20"/>
                          </w:rPr>
                        </w:pPr>
                        <w:r>
                          <w:rPr>
                            <w:color w:val="231F20"/>
                            <w:sz w:val="20"/>
                          </w:rPr>
                          <w:t>Y9</w:t>
                        </w:r>
                      </w:p>
                    </w:tc>
                    <w:tc>
                      <w:tcPr>
                        <w:tcW w:w="1151" w:type="dxa"/>
                        <w:tcBorders>
                          <w:top w:val="single" w:sz="2" w:space="0" w:color="231F20"/>
                          <w:bottom w:val="single" w:sz="2" w:space="0" w:color="231F20"/>
                        </w:tcBorders>
                      </w:tcPr>
                      <w:p>
                        <w:pPr>
                          <w:pStyle w:val="TableParagraph"/>
                          <w:ind w:left="330" w:right="326"/>
                          <w:jc w:val="center"/>
                          <w:rPr>
                            <w:sz w:val="20"/>
                          </w:rPr>
                        </w:pPr>
                        <w:r>
                          <w:rPr>
                            <w:color w:val="231F20"/>
                            <w:sz w:val="20"/>
                          </w:rPr>
                          <w:t>0,861</w:t>
                        </w:r>
                      </w:p>
                    </w:tc>
                    <w:tc>
                      <w:tcPr>
                        <w:tcW w:w="1109" w:type="dxa"/>
                        <w:tcBorders>
                          <w:top w:val="single" w:sz="2" w:space="0" w:color="231F20"/>
                          <w:bottom w:val="single" w:sz="2" w:space="0" w:color="231F20"/>
                        </w:tcBorders>
                      </w:tcPr>
                      <w:p>
                        <w:pPr>
                          <w:pStyle w:val="TableParagraph"/>
                          <w:ind w:left="319" w:right="194"/>
                          <w:jc w:val="center"/>
                          <w:rPr>
                            <w:sz w:val="20"/>
                          </w:rPr>
                        </w:pPr>
                        <w:r>
                          <w:rPr>
                            <w:color w:val="231F20"/>
                            <w:sz w:val="20"/>
                          </w:rPr>
                          <w:t>65,354</w:t>
                        </w:r>
                      </w:p>
                    </w:tc>
                    <w:tc>
                      <w:tcPr>
                        <w:tcW w:w="787" w:type="dxa"/>
                        <w:tcBorders>
                          <w:top w:val="single" w:sz="2" w:space="0" w:color="231F20"/>
                          <w:bottom w:val="single" w:sz="2" w:space="0" w:color="231F20"/>
                        </w:tcBorders>
                      </w:tcPr>
                      <w:p>
                        <w:pPr>
                          <w:pStyle w:val="TableParagraph"/>
                          <w:ind w:left="187" w:right="254"/>
                          <w:jc w:val="center"/>
                          <w:rPr>
                            <w:sz w:val="20"/>
                          </w:rPr>
                        </w:pPr>
                        <w:r>
                          <w:rPr>
                            <w:color w:val="231F20"/>
                            <w:sz w:val="20"/>
                          </w:rPr>
                          <w:t>***</w:t>
                        </w:r>
                      </w:p>
                    </w:tc>
                    <w:tc>
                      <w:tcPr>
                        <w:tcW w:w="2440" w:type="dxa"/>
                        <w:gridSpan w:val="3"/>
                        <w:vMerge/>
                        <w:tcBorders>
                          <w:top w:val="nil"/>
                        </w:tcBorders>
                      </w:tcPr>
                      <w:p>
                        <w:pPr>
                          <w:rPr>
                            <w:sz w:val="2"/>
                            <w:szCs w:val="2"/>
                          </w:rPr>
                        </w:pPr>
                      </w:p>
                    </w:tc>
                  </w:tr>
                  <w:tr>
                    <w:trPr>
                      <w:trHeight w:val="303" w:hRule="atLeast"/>
                    </w:trPr>
                    <w:tc>
                      <w:tcPr>
                        <w:tcW w:w="1191" w:type="dxa"/>
                      </w:tcPr>
                      <w:p>
                        <w:pPr>
                          <w:pStyle w:val="TableParagraph"/>
                          <w:spacing w:line="150" w:lineRule="exact" w:before="0"/>
                          <w:ind w:left="79"/>
                          <w:rPr>
                            <w:sz w:val="20"/>
                          </w:rPr>
                        </w:pPr>
                        <w:r>
                          <w:rPr>
                            <w:color w:val="231F20"/>
                            <w:sz w:val="20"/>
                          </w:rPr>
                          <w:t>Çevik</w:t>
                        </w:r>
                      </w:p>
                    </w:tc>
                    <w:tc>
                      <w:tcPr>
                        <w:tcW w:w="869" w:type="dxa"/>
                        <w:tcBorders>
                          <w:top w:val="single" w:sz="2" w:space="0" w:color="231F20"/>
                          <w:bottom w:val="single" w:sz="2" w:space="0" w:color="231F20"/>
                        </w:tcBorders>
                      </w:tcPr>
                      <w:p>
                        <w:pPr>
                          <w:pStyle w:val="TableParagraph"/>
                          <w:ind w:right="353"/>
                          <w:jc w:val="right"/>
                          <w:rPr>
                            <w:sz w:val="20"/>
                          </w:rPr>
                        </w:pPr>
                        <w:r>
                          <w:rPr>
                            <w:color w:val="231F20"/>
                            <w:sz w:val="20"/>
                          </w:rPr>
                          <w:t>Y10</w:t>
                        </w:r>
                      </w:p>
                    </w:tc>
                    <w:tc>
                      <w:tcPr>
                        <w:tcW w:w="1151" w:type="dxa"/>
                        <w:tcBorders>
                          <w:top w:val="single" w:sz="2" w:space="0" w:color="231F20"/>
                          <w:bottom w:val="single" w:sz="2" w:space="0" w:color="231F20"/>
                        </w:tcBorders>
                      </w:tcPr>
                      <w:p>
                        <w:pPr>
                          <w:pStyle w:val="TableParagraph"/>
                          <w:ind w:left="331" w:right="326"/>
                          <w:jc w:val="center"/>
                          <w:rPr>
                            <w:sz w:val="20"/>
                          </w:rPr>
                        </w:pPr>
                        <w:r>
                          <w:rPr>
                            <w:color w:val="231F20"/>
                            <w:sz w:val="20"/>
                          </w:rPr>
                          <w:t>0,854</w:t>
                        </w:r>
                      </w:p>
                    </w:tc>
                    <w:tc>
                      <w:tcPr>
                        <w:tcW w:w="1109" w:type="dxa"/>
                        <w:tcBorders>
                          <w:top w:val="single" w:sz="2" w:space="0" w:color="231F20"/>
                          <w:bottom w:val="single" w:sz="2" w:space="0" w:color="231F20"/>
                        </w:tcBorders>
                      </w:tcPr>
                      <w:p>
                        <w:pPr>
                          <w:pStyle w:val="TableParagraph"/>
                          <w:ind w:left="320" w:right="194"/>
                          <w:jc w:val="center"/>
                          <w:rPr>
                            <w:sz w:val="20"/>
                          </w:rPr>
                        </w:pPr>
                        <w:r>
                          <w:rPr>
                            <w:color w:val="231F20"/>
                            <w:sz w:val="20"/>
                          </w:rPr>
                          <w:t>64,493</w:t>
                        </w:r>
                      </w:p>
                    </w:tc>
                    <w:tc>
                      <w:tcPr>
                        <w:tcW w:w="787" w:type="dxa"/>
                        <w:tcBorders>
                          <w:top w:val="single" w:sz="2" w:space="0" w:color="231F20"/>
                          <w:bottom w:val="single" w:sz="2" w:space="0" w:color="231F20"/>
                        </w:tcBorders>
                      </w:tcPr>
                      <w:p>
                        <w:pPr>
                          <w:pStyle w:val="TableParagraph"/>
                          <w:ind w:left="188" w:right="254"/>
                          <w:jc w:val="center"/>
                          <w:rPr>
                            <w:sz w:val="20"/>
                          </w:rPr>
                        </w:pPr>
                        <w:r>
                          <w:rPr>
                            <w:color w:val="231F20"/>
                            <w:sz w:val="20"/>
                          </w:rPr>
                          <w:t>***</w:t>
                        </w:r>
                      </w:p>
                    </w:tc>
                    <w:tc>
                      <w:tcPr>
                        <w:tcW w:w="582" w:type="dxa"/>
                      </w:tcPr>
                      <w:p>
                        <w:pPr>
                          <w:pStyle w:val="TableParagraph"/>
                          <w:ind w:left="47"/>
                          <w:rPr>
                            <w:sz w:val="20"/>
                          </w:rPr>
                        </w:pPr>
                        <w:r>
                          <w:rPr>
                            <w:color w:val="231F20"/>
                            <w:sz w:val="20"/>
                          </w:rPr>
                          <w:t>0,68</w:t>
                        </w:r>
                      </w:p>
                    </w:tc>
                    <w:tc>
                      <w:tcPr>
                        <w:tcW w:w="851" w:type="dxa"/>
                      </w:tcPr>
                      <w:p>
                        <w:pPr>
                          <w:pStyle w:val="TableParagraph"/>
                          <w:ind w:left="173"/>
                          <w:rPr>
                            <w:sz w:val="20"/>
                          </w:rPr>
                        </w:pPr>
                        <w:r>
                          <w:rPr>
                            <w:color w:val="231F20"/>
                            <w:sz w:val="20"/>
                          </w:rPr>
                          <w:t>0,98</w:t>
                        </w:r>
                      </w:p>
                    </w:tc>
                    <w:tc>
                      <w:tcPr>
                        <w:tcW w:w="1007" w:type="dxa"/>
                      </w:tcPr>
                      <w:p>
                        <w:pPr>
                          <w:pStyle w:val="TableParagraph"/>
                          <w:ind w:left="315"/>
                          <w:rPr>
                            <w:sz w:val="20"/>
                          </w:rPr>
                        </w:pPr>
                        <w:r>
                          <w:rPr>
                            <w:color w:val="231F20"/>
                            <w:sz w:val="20"/>
                          </w:rPr>
                          <w:t>0,94</w:t>
                        </w:r>
                      </w:p>
                    </w:tc>
                  </w:tr>
                  <w:tr>
                    <w:trPr>
                      <w:trHeight w:val="303" w:hRule="atLeast"/>
                    </w:trPr>
                    <w:tc>
                      <w:tcPr>
                        <w:tcW w:w="1191" w:type="dxa"/>
                      </w:tcPr>
                      <w:p>
                        <w:pPr>
                          <w:pStyle w:val="TableParagraph"/>
                          <w:spacing w:line="192" w:lineRule="exact" w:before="91"/>
                          <w:ind w:left="79"/>
                          <w:rPr>
                            <w:sz w:val="20"/>
                          </w:rPr>
                        </w:pPr>
                        <w:r>
                          <w:rPr>
                            <w:color w:val="231F20"/>
                            <w:sz w:val="20"/>
                          </w:rPr>
                          <w:t>Becerisi</w:t>
                        </w:r>
                      </w:p>
                    </w:tc>
                    <w:tc>
                      <w:tcPr>
                        <w:tcW w:w="869" w:type="dxa"/>
                        <w:tcBorders>
                          <w:top w:val="single" w:sz="2" w:space="0" w:color="231F20"/>
                          <w:bottom w:val="single" w:sz="2" w:space="0" w:color="231F20"/>
                        </w:tcBorders>
                      </w:tcPr>
                      <w:p>
                        <w:pPr>
                          <w:pStyle w:val="TableParagraph"/>
                          <w:ind w:right="364"/>
                          <w:jc w:val="right"/>
                          <w:rPr>
                            <w:sz w:val="20"/>
                          </w:rPr>
                        </w:pPr>
                        <w:r>
                          <w:rPr>
                            <w:color w:val="231F20"/>
                            <w:sz w:val="20"/>
                          </w:rPr>
                          <w:t>Y11</w:t>
                        </w:r>
                      </w:p>
                    </w:tc>
                    <w:tc>
                      <w:tcPr>
                        <w:tcW w:w="1151" w:type="dxa"/>
                        <w:tcBorders>
                          <w:top w:val="single" w:sz="2" w:space="0" w:color="231F20"/>
                          <w:bottom w:val="single" w:sz="2" w:space="0" w:color="231F20"/>
                        </w:tcBorders>
                      </w:tcPr>
                      <w:p>
                        <w:pPr>
                          <w:pStyle w:val="TableParagraph"/>
                          <w:ind w:left="331" w:right="326"/>
                          <w:jc w:val="center"/>
                          <w:rPr>
                            <w:sz w:val="20"/>
                          </w:rPr>
                        </w:pPr>
                        <w:r>
                          <w:rPr>
                            <w:color w:val="231F20"/>
                            <w:sz w:val="20"/>
                          </w:rPr>
                          <w:t>0,864</w:t>
                        </w:r>
                      </w:p>
                    </w:tc>
                    <w:tc>
                      <w:tcPr>
                        <w:tcW w:w="1109" w:type="dxa"/>
                        <w:tcBorders>
                          <w:top w:val="single" w:sz="2" w:space="0" w:color="231F20"/>
                          <w:bottom w:val="single" w:sz="2" w:space="0" w:color="231F20"/>
                        </w:tcBorders>
                      </w:tcPr>
                      <w:p>
                        <w:pPr>
                          <w:pStyle w:val="TableParagraph"/>
                          <w:ind w:left="320" w:right="194"/>
                          <w:jc w:val="center"/>
                          <w:rPr>
                            <w:sz w:val="20"/>
                          </w:rPr>
                        </w:pPr>
                        <w:r>
                          <w:rPr>
                            <w:color w:val="231F20"/>
                            <w:sz w:val="20"/>
                          </w:rPr>
                          <w:t>65,684</w:t>
                        </w:r>
                      </w:p>
                    </w:tc>
                    <w:tc>
                      <w:tcPr>
                        <w:tcW w:w="787" w:type="dxa"/>
                        <w:tcBorders>
                          <w:top w:val="single" w:sz="2" w:space="0" w:color="231F20"/>
                          <w:bottom w:val="single" w:sz="2" w:space="0" w:color="231F20"/>
                        </w:tcBorders>
                      </w:tcPr>
                      <w:p>
                        <w:pPr>
                          <w:pStyle w:val="TableParagraph"/>
                          <w:ind w:left="188" w:right="254"/>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22"/>
                          <w:ind w:left="79"/>
                          <w:rPr>
                            <w:sz w:val="20"/>
                          </w:rPr>
                        </w:pPr>
                        <w:r>
                          <w:rPr>
                            <w:color w:val="231F20"/>
                            <w:sz w:val="20"/>
                          </w:rPr>
                          <w:t>Algısı</w:t>
                        </w:r>
                      </w:p>
                    </w:tc>
                    <w:tc>
                      <w:tcPr>
                        <w:tcW w:w="869" w:type="dxa"/>
                        <w:tcBorders>
                          <w:top w:val="single" w:sz="2" w:space="0" w:color="231F20"/>
                          <w:bottom w:val="single" w:sz="2" w:space="0" w:color="231F20"/>
                        </w:tcBorders>
                      </w:tcPr>
                      <w:p>
                        <w:pPr>
                          <w:pStyle w:val="TableParagraph"/>
                          <w:ind w:right="353"/>
                          <w:jc w:val="right"/>
                          <w:rPr>
                            <w:sz w:val="20"/>
                          </w:rPr>
                        </w:pPr>
                        <w:r>
                          <w:rPr>
                            <w:color w:val="231F20"/>
                            <w:sz w:val="20"/>
                          </w:rPr>
                          <w:t>Y12</w:t>
                        </w:r>
                      </w:p>
                    </w:tc>
                    <w:tc>
                      <w:tcPr>
                        <w:tcW w:w="1151" w:type="dxa"/>
                        <w:tcBorders>
                          <w:top w:val="single" w:sz="2" w:space="0" w:color="231F20"/>
                          <w:bottom w:val="single" w:sz="2" w:space="0" w:color="231F20"/>
                        </w:tcBorders>
                      </w:tcPr>
                      <w:p>
                        <w:pPr>
                          <w:pStyle w:val="TableParagraph"/>
                          <w:ind w:left="331" w:right="326"/>
                          <w:jc w:val="center"/>
                          <w:rPr>
                            <w:sz w:val="20"/>
                          </w:rPr>
                        </w:pPr>
                        <w:r>
                          <w:rPr>
                            <w:color w:val="231F20"/>
                            <w:sz w:val="20"/>
                          </w:rPr>
                          <w:t>0,831</w:t>
                        </w:r>
                      </w:p>
                    </w:tc>
                    <w:tc>
                      <w:tcPr>
                        <w:tcW w:w="1109" w:type="dxa"/>
                        <w:tcBorders>
                          <w:top w:val="single" w:sz="2" w:space="0" w:color="231F20"/>
                          <w:bottom w:val="single" w:sz="2" w:space="0" w:color="231F20"/>
                        </w:tcBorders>
                      </w:tcPr>
                      <w:p>
                        <w:pPr>
                          <w:pStyle w:val="TableParagraph"/>
                          <w:ind w:left="320" w:right="194"/>
                          <w:jc w:val="center"/>
                          <w:rPr>
                            <w:sz w:val="20"/>
                          </w:rPr>
                        </w:pPr>
                        <w:r>
                          <w:rPr>
                            <w:color w:val="231F20"/>
                            <w:sz w:val="20"/>
                          </w:rPr>
                          <w:t>61,849</w:t>
                        </w:r>
                      </w:p>
                    </w:tc>
                    <w:tc>
                      <w:tcPr>
                        <w:tcW w:w="787" w:type="dxa"/>
                        <w:tcBorders>
                          <w:top w:val="single" w:sz="2" w:space="0" w:color="231F20"/>
                          <w:bottom w:val="single" w:sz="2" w:space="0" w:color="231F20"/>
                        </w:tcBorders>
                      </w:tcPr>
                      <w:p>
                        <w:pPr>
                          <w:pStyle w:val="TableParagraph"/>
                          <w:ind w:left="188" w:right="254"/>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ind w:right="353"/>
                          <w:jc w:val="right"/>
                          <w:rPr>
                            <w:sz w:val="20"/>
                          </w:rPr>
                        </w:pPr>
                        <w:r>
                          <w:rPr>
                            <w:color w:val="231F20"/>
                            <w:sz w:val="20"/>
                          </w:rPr>
                          <w:t>Y13</w:t>
                        </w:r>
                      </w:p>
                    </w:tc>
                    <w:tc>
                      <w:tcPr>
                        <w:tcW w:w="1151" w:type="dxa"/>
                        <w:tcBorders>
                          <w:top w:val="single" w:sz="2" w:space="0" w:color="231F20"/>
                          <w:bottom w:val="single" w:sz="2" w:space="0" w:color="231F20"/>
                        </w:tcBorders>
                      </w:tcPr>
                      <w:p>
                        <w:pPr>
                          <w:pStyle w:val="TableParagraph"/>
                          <w:ind w:left="331" w:right="326"/>
                          <w:jc w:val="center"/>
                          <w:rPr>
                            <w:sz w:val="20"/>
                          </w:rPr>
                        </w:pPr>
                        <w:r>
                          <w:rPr>
                            <w:color w:val="231F20"/>
                            <w:sz w:val="20"/>
                          </w:rPr>
                          <w:t>0,833</w:t>
                        </w:r>
                      </w:p>
                    </w:tc>
                    <w:tc>
                      <w:tcPr>
                        <w:tcW w:w="1109" w:type="dxa"/>
                        <w:tcBorders>
                          <w:top w:val="single" w:sz="2" w:space="0" w:color="231F20"/>
                          <w:bottom w:val="single" w:sz="2" w:space="0" w:color="231F20"/>
                        </w:tcBorders>
                      </w:tcPr>
                      <w:p>
                        <w:pPr>
                          <w:pStyle w:val="TableParagraph"/>
                          <w:ind w:left="321" w:right="194"/>
                          <w:jc w:val="center"/>
                          <w:rPr>
                            <w:sz w:val="20"/>
                          </w:rPr>
                        </w:pPr>
                        <w:r>
                          <w:rPr>
                            <w:color w:val="231F20"/>
                            <w:sz w:val="20"/>
                          </w:rPr>
                          <w:t>62,095</w:t>
                        </w:r>
                      </w:p>
                    </w:tc>
                    <w:tc>
                      <w:tcPr>
                        <w:tcW w:w="787" w:type="dxa"/>
                        <w:tcBorders>
                          <w:top w:val="single" w:sz="2" w:space="0" w:color="231F20"/>
                          <w:bottom w:val="single" w:sz="2" w:space="0" w:color="231F20"/>
                        </w:tcBorders>
                      </w:tcPr>
                      <w:p>
                        <w:pPr>
                          <w:pStyle w:val="TableParagraph"/>
                          <w:ind w:left="188" w:right="254"/>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ind w:right="352"/>
                          <w:jc w:val="right"/>
                          <w:rPr>
                            <w:sz w:val="20"/>
                          </w:rPr>
                        </w:pPr>
                        <w:r>
                          <w:rPr>
                            <w:color w:val="231F20"/>
                            <w:sz w:val="20"/>
                          </w:rPr>
                          <w:t>Y14</w:t>
                        </w:r>
                      </w:p>
                    </w:tc>
                    <w:tc>
                      <w:tcPr>
                        <w:tcW w:w="1151" w:type="dxa"/>
                        <w:tcBorders>
                          <w:top w:val="single" w:sz="2" w:space="0" w:color="231F20"/>
                          <w:bottom w:val="single" w:sz="2" w:space="0" w:color="231F20"/>
                        </w:tcBorders>
                      </w:tcPr>
                      <w:p>
                        <w:pPr>
                          <w:pStyle w:val="TableParagraph"/>
                          <w:ind w:left="331" w:right="325"/>
                          <w:jc w:val="center"/>
                          <w:rPr>
                            <w:sz w:val="20"/>
                          </w:rPr>
                        </w:pPr>
                        <w:r>
                          <w:rPr>
                            <w:color w:val="231F20"/>
                            <w:sz w:val="20"/>
                          </w:rPr>
                          <w:t>0,831</w:t>
                        </w:r>
                      </w:p>
                    </w:tc>
                    <w:tc>
                      <w:tcPr>
                        <w:tcW w:w="1109" w:type="dxa"/>
                        <w:tcBorders>
                          <w:top w:val="single" w:sz="2" w:space="0" w:color="231F20"/>
                          <w:bottom w:val="single" w:sz="2" w:space="0" w:color="231F20"/>
                        </w:tcBorders>
                      </w:tcPr>
                      <w:p>
                        <w:pPr>
                          <w:pStyle w:val="TableParagraph"/>
                          <w:ind w:left="321" w:right="194"/>
                          <w:jc w:val="center"/>
                          <w:rPr>
                            <w:sz w:val="20"/>
                          </w:rPr>
                        </w:pPr>
                        <w:r>
                          <w:rPr>
                            <w:color w:val="231F20"/>
                            <w:sz w:val="20"/>
                          </w:rPr>
                          <w:t>61,915</w:t>
                        </w:r>
                      </w:p>
                    </w:tc>
                    <w:tc>
                      <w:tcPr>
                        <w:tcW w:w="787" w:type="dxa"/>
                        <w:tcBorders>
                          <w:top w:val="single" w:sz="2" w:space="0" w:color="231F20"/>
                          <w:bottom w:val="single" w:sz="2" w:space="0" w:color="231F20"/>
                        </w:tcBorders>
                      </w:tcPr>
                      <w:p>
                        <w:pPr>
                          <w:pStyle w:val="TableParagraph"/>
                          <w:ind w:left="188" w:right="253"/>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352"/>
                          <w:jc w:val="right"/>
                          <w:rPr>
                            <w:sz w:val="20"/>
                          </w:rPr>
                        </w:pPr>
                        <w:r>
                          <w:rPr>
                            <w:color w:val="231F20"/>
                            <w:sz w:val="20"/>
                          </w:rPr>
                          <w:t>Y15</w:t>
                        </w:r>
                      </w:p>
                    </w:tc>
                    <w:tc>
                      <w:tcPr>
                        <w:tcW w:w="1151" w:type="dxa"/>
                        <w:tcBorders>
                          <w:top w:val="single" w:sz="2" w:space="0" w:color="231F20"/>
                          <w:bottom w:val="single" w:sz="2" w:space="0" w:color="231F20"/>
                        </w:tcBorders>
                      </w:tcPr>
                      <w:p>
                        <w:pPr>
                          <w:pStyle w:val="TableParagraph"/>
                          <w:spacing w:before="41"/>
                          <w:ind w:left="331" w:right="325"/>
                          <w:jc w:val="center"/>
                          <w:rPr>
                            <w:sz w:val="20"/>
                          </w:rPr>
                        </w:pPr>
                        <w:r>
                          <w:rPr>
                            <w:color w:val="231F20"/>
                            <w:sz w:val="20"/>
                          </w:rPr>
                          <w:t>0,849</w:t>
                        </w:r>
                      </w:p>
                    </w:tc>
                    <w:tc>
                      <w:tcPr>
                        <w:tcW w:w="1109" w:type="dxa"/>
                        <w:tcBorders>
                          <w:top w:val="single" w:sz="2" w:space="0" w:color="231F20"/>
                          <w:bottom w:val="single" w:sz="2" w:space="0" w:color="231F20"/>
                        </w:tcBorders>
                      </w:tcPr>
                      <w:p>
                        <w:pPr>
                          <w:pStyle w:val="TableParagraph"/>
                          <w:spacing w:before="41"/>
                          <w:ind w:left="321" w:right="194"/>
                          <w:jc w:val="center"/>
                          <w:rPr>
                            <w:sz w:val="20"/>
                          </w:rPr>
                        </w:pPr>
                        <w:r>
                          <w:rPr>
                            <w:color w:val="231F20"/>
                            <w:sz w:val="20"/>
                          </w:rPr>
                          <w:t>63,857</w:t>
                        </w:r>
                      </w:p>
                    </w:tc>
                    <w:tc>
                      <w:tcPr>
                        <w:tcW w:w="787" w:type="dxa"/>
                        <w:tcBorders>
                          <w:top w:val="single" w:sz="2" w:space="0" w:color="231F20"/>
                          <w:bottom w:val="single" w:sz="2" w:space="0" w:color="231F20"/>
                        </w:tcBorders>
                      </w:tcPr>
                      <w:p>
                        <w:pPr>
                          <w:pStyle w:val="TableParagraph"/>
                          <w:spacing w:before="41"/>
                          <w:ind w:left="188" w:right="253"/>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352"/>
                          <w:jc w:val="right"/>
                          <w:rPr>
                            <w:sz w:val="20"/>
                          </w:rPr>
                        </w:pPr>
                        <w:r>
                          <w:rPr>
                            <w:color w:val="231F20"/>
                            <w:sz w:val="20"/>
                          </w:rPr>
                          <w:t>Y16</w:t>
                        </w:r>
                      </w:p>
                    </w:tc>
                    <w:tc>
                      <w:tcPr>
                        <w:tcW w:w="1151" w:type="dxa"/>
                        <w:tcBorders>
                          <w:top w:val="single" w:sz="2" w:space="0" w:color="231F20"/>
                          <w:bottom w:val="single" w:sz="2" w:space="0" w:color="231F20"/>
                        </w:tcBorders>
                      </w:tcPr>
                      <w:p>
                        <w:pPr>
                          <w:pStyle w:val="TableParagraph"/>
                          <w:spacing w:before="41"/>
                          <w:ind w:left="331" w:right="324"/>
                          <w:jc w:val="center"/>
                          <w:rPr>
                            <w:sz w:val="20"/>
                          </w:rPr>
                        </w:pPr>
                        <w:r>
                          <w:rPr>
                            <w:color w:val="231F20"/>
                            <w:sz w:val="20"/>
                          </w:rPr>
                          <w:t>0,824</w:t>
                        </w:r>
                      </w:p>
                    </w:tc>
                    <w:tc>
                      <w:tcPr>
                        <w:tcW w:w="1109" w:type="dxa"/>
                        <w:tcBorders>
                          <w:top w:val="single" w:sz="2" w:space="0" w:color="231F20"/>
                          <w:bottom w:val="single" w:sz="2" w:space="0" w:color="231F20"/>
                        </w:tcBorders>
                      </w:tcPr>
                      <w:p>
                        <w:pPr>
                          <w:pStyle w:val="TableParagraph"/>
                          <w:spacing w:before="41"/>
                          <w:ind w:left="321" w:right="193"/>
                          <w:jc w:val="center"/>
                          <w:rPr>
                            <w:sz w:val="20"/>
                          </w:rPr>
                        </w:pPr>
                        <w:r>
                          <w:rPr>
                            <w:color w:val="231F20"/>
                            <w:sz w:val="20"/>
                          </w:rPr>
                          <w:t>61,157</w:t>
                        </w:r>
                      </w:p>
                    </w:tc>
                    <w:tc>
                      <w:tcPr>
                        <w:tcW w:w="787" w:type="dxa"/>
                        <w:tcBorders>
                          <w:top w:val="single" w:sz="2" w:space="0" w:color="231F20"/>
                          <w:bottom w:val="single" w:sz="2" w:space="0" w:color="231F20"/>
                        </w:tcBorders>
                      </w:tcPr>
                      <w:p>
                        <w:pPr>
                          <w:pStyle w:val="TableParagraph"/>
                          <w:spacing w:before="41"/>
                          <w:ind w:left="188" w:right="252"/>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352"/>
                          <w:jc w:val="right"/>
                          <w:rPr>
                            <w:sz w:val="20"/>
                          </w:rPr>
                        </w:pPr>
                        <w:r>
                          <w:rPr>
                            <w:color w:val="231F20"/>
                            <w:sz w:val="20"/>
                          </w:rPr>
                          <w:t>Y17</w:t>
                        </w:r>
                      </w:p>
                    </w:tc>
                    <w:tc>
                      <w:tcPr>
                        <w:tcW w:w="1151" w:type="dxa"/>
                        <w:tcBorders>
                          <w:top w:val="single" w:sz="2" w:space="0" w:color="231F20"/>
                          <w:bottom w:val="single" w:sz="2" w:space="0" w:color="231F20"/>
                        </w:tcBorders>
                      </w:tcPr>
                      <w:p>
                        <w:pPr>
                          <w:pStyle w:val="TableParagraph"/>
                          <w:spacing w:before="41"/>
                          <w:ind w:left="331" w:right="324"/>
                          <w:jc w:val="center"/>
                          <w:rPr>
                            <w:sz w:val="20"/>
                          </w:rPr>
                        </w:pPr>
                        <w:r>
                          <w:rPr>
                            <w:color w:val="231F20"/>
                            <w:sz w:val="20"/>
                          </w:rPr>
                          <w:t>0,777</w:t>
                        </w:r>
                      </w:p>
                    </w:tc>
                    <w:tc>
                      <w:tcPr>
                        <w:tcW w:w="1109" w:type="dxa"/>
                        <w:tcBorders>
                          <w:top w:val="single" w:sz="2" w:space="0" w:color="231F20"/>
                          <w:bottom w:val="single" w:sz="2" w:space="0" w:color="231F20"/>
                        </w:tcBorders>
                      </w:tcPr>
                      <w:p>
                        <w:pPr>
                          <w:pStyle w:val="TableParagraph"/>
                          <w:spacing w:before="41"/>
                          <w:ind w:left="321" w:right="193"/>
                          <w:jc w:val="center"/>
                          <w:rPr>
                            <w:sz w:val="20"/>
                          </w:rPr>
                        </w:pPr>
                        <w:r>
                          <w:rPr>
                            <w:color w:val="231F20"/>
                            <w:sz w:val="20"/>
                          </w:rPr>
                          <w:t>56,212</w:t>
                        </w:r>
                      </w:p>
                    </w:tc>
                    <w:tc>
                      <w:tcPr>
                        <w:tcW w:w="787" w:type="dxa"/>
                        <w:tcBorders>
                          <w:top w:val="single" w:sz="2" w:space="0" w:color="231F20"/>
                          <w:bottom w:val="single" w:sz="2" w:space="0" w:color="231F20"/>
                        </w:tcBorders>
                      </w:tcPr>
                      <w:p>
                        <w:pPr>
                          <w:pStyle w:val="TableParagraph"/>
                          <w:spacing w:before="41"/>
                          <w:ind w:left="188" w:right="252"/>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352"/>
                          <w:jc w:val="right"/>
                          <w:rPr>
                            <w:sz w:val="20"/>
                          </w:rPr>
                        </w:pPr>
                        <w:r>
                          <w:rPr>
                            <w:color w:val="231F20"/>
                            <w:sz w:val="20"/>
                          </w:rPr>
                          <w:t>Y18</w:t>
                        </w:r>
                      </w:p>
                    </w:tc>
                    <w:tc>
                      <w:tcPr>
                        <w:tcW w:w="1151" w:type="dxa"/>
                        <w:tcBorders>
                          <w:top w:val="single" w:sz="2" w:space="0" w:color="231F20"/>
                          <w:bottom w:val="single" w:sz="2" w:space="0" w:color="231F20"/>
                        </w:tcBorders>
                      </w:tcPr>
                      <w:p>
                        <w:pPr>
                          <w:pStyle w:val="TableParagraph"/>
                          <w:spacing w:before="41"/>
                          <w:ind w:left="331" w:right="324"/>
                          <w:jc w:val="center"/>
                          <w:rPr>
                            <w:sz w:val="20"/>
                          </w:rPr>
                        </w:pPr>
                        <w:r>
                          <w:rPr>
                            <w:color w:val="231F20"/>
                            <w:sz w:val="20"/>
                          </w:rPr>
                          <w:t>0,785</w:t>
                        </w:r>
                      </w:p>
                    </w:tc>
                    <w:tc>
                      <w:tcPr>
                        <w:tcW w:w="1109" w:type="dxa"/>
                        <w:tcBorders>
                          <w:top w:val="single" w:sz="2" w:space="0" w:color="231F20"/>
                          <w:bottom w:val="single" w:sz="2" w:space="0" w:color="231F20"/>
                        </w:tcBorders>
                      </w:tcPr>
                      <w:p>
                        <w:pPr>
                          <w:pStyle w:val="TableParagraph"/>
                          <w:spacing w:before="41"/>
                          <w:ind w:left="321" w:right="192"/>
                          <w:jc w:val="center"/>
                          <w:rPr>
                            <w:sz w:val="20"/>
                          </w:rPr>
                        </w:pPr>
                        <w:r>
                          <w:rPr>
                            <w:color w:val="231F20"/>
                            <w:sz w:val="20"/>
                          </w:rPr>
                          <w:t>56,977</w:t>
                        </w:r>
                      </w:p>
                    </w:tc>
                    <w:tc>
                      <w:tcPr>
                        <w:tcW w:w="787" w:type="dxa"/>
                        <w:tcBorders>
                          <w:top w:val="single" w:sz="2" w:space="0" w:color="231F20"/>
                          <w:bottom w:val="single" w:sz="2" w:space="0" w:color="231F20"/>
                        </w:tcBorders>
                      </w:tcPr>
                      <w:p>
                        <w:pPr>
                          <w:pStyle w:val="TableParagraph"/>
                          <w:spacing w:before="41"/>
                          <w:ind w:left="188" w:right="252"/>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Borders>
                          <w:bottom w:val="single" w:sz="2" w:space="0" w:color="231F20"/>
                        </w:tcBorders>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351"/>
                          <w:jc w:val="right"/>
                          <w:rPr>
                            <w:sz w:val="20"/>
                          </w:rPr>
                        </w:pPr>
                        <w:r>
                          <w:rPr>
                            <w:color w:val="231F20"/>
                            <w:sz w:val="20"/>
                          </w:rPr>
                          <w:t>Y19</w:t>
                        </w:r>
                      </w:p>
                    </w:tc>
                    <w:tc>
                      <w:tcPr>
                        <w:tcW w:w="1151" w:type="dxa"/>
                        <w:tcBorders>
                          <w:top w:val="single" w:sz="2" w:space="0" w:color="231F20"/>
                          <w:bottom w:val="single" w:sz="2" w:space="0" w:color="231F20"/>
                        </w:tcBorders>
                      </w:tcPr>
                      <w:p>
                        <w:pPr>
                          <w:pStyle w:val="TableParagraph"/>
                          <w:spacing w:before="41"/>
                          <w:ind w:left="331" w:right="323"/>
                          <w:jc w:val="center"/>
                          <w:rPr>
                            <w:sz w:val="20"/>
                          </w:rPr>
                        </w:pPr>
                        <w:r>
                          <w:rPr>
                            <w:color w:val="231F20"/>
                            <w:sz w:val="20"/>
                          </w:rPr>
                          <w:t>0,779</w:t>
                        </w:r>
                      </w:p>
                    </w:tc>
                    <w:tc>
                      <w:tcPr>
                        <w:tcW w:w="1109" w:type="dxa"/>
                        <w:tcBorders>
                          <w:top w:val="single" w:sz="2" w:space="0" w:color="231F20"/>
                          <w:bottom w:val="single" w:sz="2" w:space="0" w:color="231F20"/>
                        </w:tcBorders>
                      </w:tcPr>
                      <w:p>
                        <w:pPr>
                          <w:pStyle w:val="TableParagraph"/>
                          <w:spacing w:before="41"/>
                          <w:ind w:left="321" w:right="192"/>
                          <w:jc w:val="center"/>
                          <w:rPr>
                            <w:sz w:val="20"/>
                          </w:rPr>
                        </w:pPr>
                        <w:r>
                          <w:rPr>
                            <w:color w:val="231F20"/>
                            <w:sz w:val="20"/>
                          </w:rPr>
                          <w:t>56,415</w:t>
                        </w:r>
                      </w:p>
                    </w:tc>
                    <w:tc>
                      <w:tcPr>
                        <w:tcW w:w="787" w:type="dxa"/>
                        <w:tcBorders>
                          <w:top w:val="single" w:sz="2" w:space="0" w:color="231F20"/>
                          <w:bottom w:val="single" w:sz="2" w:space="0" w:color="231F20"/>
                        </w:tcBorders>
                      </w:tcPr>
                      <w:p>
                        <w:pPr>
                          <w:pStyle w:val="TableParagraph"/>
                          <w:spacing w:before="41"/>
                          <w:ind w:left="188" w:right="251"/>
                          <w:jc w:val="center"/>
                          <w:rPr>
                            <w:sz w:val="20"/>
                          </w:rPr>
                        </w:pPr>
                        <w:r>
                          <w:rPr>
                            <w:color w:val="231F20"/>
                            <w:sz w:val="20"/>
                          </w:rPr>
                          <w:t>***</w:t>
                        </w:r>
                      </w:p>
                    </w:tc>
                    <w:tc>
                      <w:tcPr>
                        <w:tcW w:w="582" w:type="dxa"/>
                        <w:tcBorders>
                          <w:bottom w:val="single" w:sz="2" w:space="0" w:color="231F20"/>
                        </w:tcBorders>
                      </w:tcPr>
                      <w:p>
                        <w:pPr>
                          <w:pStyle w:val="TableParagraph"/>
                          <w:spacing w:before="0"/>
                          <w:rPr>
                            <w:sz w:val="18"/>
                          </w:rPr>
                        </w:pPr>
                      </w:p>
                    </w:tc>
                    <w:tc>
                      <w:tcPr>
                        <w:tcW w:w="851" w:type="dxa"/>
                        <w:tcBorders>
                          <w:bottom w:val="single" w:sz="2" w:space="0" w:color="231F20"/>
                        </w:tcBorders>
                      </w:tcPr>
                      <w:p>
                        <w:pPr>
                          <w:pStyle w:val="TableParagraph"/>
                          <w:spacing w:before="0"/>
                          <w:rPr>
                            <w:sz w:val="18"/>
                          </w:rPr>
                        </w:pPr>
                      </w:p>
                    </w:tc>
                    <w:tc>
                      <w:tcPr>
                        <w:tcW w:w="1007" w:type="dxa"/>
                        <w:tcBorders>
                          <w:bottom w:val="single" w:sz="2" w:space="0" w:color="231F20"/>
                        </w:tcBorders>
                      </w:tcPr>
                      <w:p>
                        <w:pPr>
                          <w:pStyle w:val="TableParagraph"/>
                          <w:spacing w:before="0"/>
                          <w:rPr>
                            <w:sz w:val="18"/>
                          </w:rPr>
                        </w:pPr>
                      </w:p>
                    </w:tc>
                  </w:tr>
                  <w:tr>
                    <w:trPr>
                      <w:trHeight w:val="303" w:hRule="atLeast"/>
                    </w:trPr>
                    <w:tc>
                      <w:tcPr>
                        <w:tcW w:w="1191" w:type="dxa"/>
                        <w:tcBorders>
                          <w:top w:val="single" w:sz="2" w:space="0" w:color="231F20"/>
                        </w:tcBorders>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418"/>
                          <w:jc w:val="right"/>
                          <w:rPr>
                            <w:sz w:val="20"/>
                          </w:rPr>
                        </w:pPr>
                        <w:r>
                          <w:rPr>
                            <w:color w:val="231F20"/>
                            <w:sz w:val="20"/>
                          </w:rPr>
                          <w:t>P1</w:t>
                        </w:r>
                      </w:p>
                    </w:tc>
                    <w:tc>
                      <w:tcPr>
                        <w:tcW w:w="1151" w:type="dxa"/>
                        <w:tcBorders>
                          <w:top w:val="single" w:sz="2" w:space="0" w:color="231F20"/>
                          <w:bottom w:val="single" w:sz="2" w:space="0" w:color="231F20"/>
                        </w:tcBorders>
                      </w:tcPr>
                      <w:p>
                        <w:pPr>
                          <w:pStyle w:val="TableParagraph"/>
                          <w:spacing w:before="41"/>
                          <w:ind w:left="331" w:right="323"/>
                          <w:jc w:val="center"/>
                          <w:rPr>
                            <w:sz w:val="20"/>
                          </w:rPr>
                        </w:pPr>
                        <w:r>
                          <w:rPr>
                            <w:color w:val="231F20"/>
                            <w:sz w:val="20"/>
                          </w:rPr>
                          <w:t>0,775</w:t>
                        </w:r>
                      </w:p>
                    </w:tc>
                    <w:tc>
                      <w:tcPr>
                        <w:tcW w:w="1109" w:type="dxa"/>
                        <w:tcBorders>
                          <w:top w:val="single" w:sz="2" w:space="0" w:color="231F20"/>
                          <w:bottom w:val="single" w:sz="2" w:space="0" w:color="231F20"/>
                        </w:tcBorders>
                      </w:tcPr>
                      <w:p>
                        <w:pPr>
                          <w:pStyle w:val="TableParagraph"/>
                          <w:spacing w:before="41"/>
                          <w:ind w:left="129"/>
                          <w:jc w:val="center"/>
                          <w:rPr>
                            <w:sz w:val="20"/>
                          </w:rPr>
                        </w:pPr>
                        <w:r>
                          <w:rPr>
                            <w:color w:val="231F20"/>
                            <w:sz w:val="20"/>
                          </w:rPr>
                          <w:t>-</w:t>
                        </w:r>
                      </w:p>
                    </w:tc>
                    <w:tc>
                      <w:tcPr>
                        <w:tcW w:w="787" w:type="dxa"/>
                        <w:tcBorders>
                          <w:top w:val="single" w:sz="2" w:space="0" w:color="231F20"/>
                          <w:bottom w:val="single" w:sz="2" w:space="0" w:color="231F20"/>
                        </w:tcBorders>
                      </w:tcPr>
                      <w:p>
                        <w:pPr>
                          <w:pStyle w:val="TableParagraph"/>
                          <w:spacing w:before="41"/>
                          <w:ind w:left="188" w:right="251"/>
                          <w:jc w:val="center"/>
                          <w:rPr>
                            <w:sz w:val="20"/>
                          </w:rPr>
                        </w:pPr>
                        <w:r>
                          <w:rPr>
                            <w:color w:val="231F20"/>
                            <w:sz w:val="20"/>
                          </w:rPr>
                          <w:t>***</w:t>
                        </w:r>
                      </w:p>
                    </w:tc>
                    <w:tc>
                      <w:tcPr>
                        <w:tcW w:w="582" w:type="dxa"/>
                        <w:tcBorders>
                          <w:top w:val="single" w:sz="2" w:space="0" w:color="231F20"/>
                        </w:tcBorders>
                      </w:tcPr>
                      <w:p>
                        <w:pPr>
                          <w:pStyle w:val="TableParagraph"/>
                          <w:spacing w:before="0"/>
                          <w:rPr>
                            <w:sz w:val="18"/>
                          </w:rPr>
                        </w:pPr>
                      </w:p>
                    </w:tc>
                    <w:tc>
                      <w:tcPr>
                        <w:tcW w:w="851" w:type="dxa"/>
                        <w:tcBorders>
                          <w:top w:val="single" w:sz="2" w:space="0" w:color="231F20"/>
                        </w:tcBorders>
                      </w:tcPr>
                      <w:p>
                        <w:pPr>
                          <w:pStyle w:val="TableParagraph"/>
                          <w:spacing w:before="0"/>
                          <w:rPr>
                            <w:sz w:val="18"/>
                          </w:rPr>
                        </w:pPr>
                      </w:p>
                    </w:tc>
                    <w:tc>
                      <w:tcPr>
                        <w:tcW w:w="1007" w:type="dxa"/>
                        <w:tcBorders>
                          <w:top w:val="single" w:sz="2" w:space="0" w:color="231F20"/>
                        </w:tcBorders>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418"/>
                          <w:jc w:val="right"/>
                          <w:rPr>
                            <w:sz w:val="20"/>
                          </w:rPr>
                        </w:pPr>
                        <w:r>
                          <w:rPr>
                            <w:color w:val="231F20"/>
                            <w:sz w:val="20"/>
                          </w:rPr>
                          <w:t>P2</w:t>
                        </w:r>
                      </w:p>
                    </w:tc>
                    <w:tc>
                      <w:tcPr>
                        <w:tcW w:w="1151" w:type="dxa"/>
                        <w:tcBorders>
                          <w:top w:val="single" w:sz="2" w:space="0" w:color="231F20"/>
                          <w:bottom w:val="single" w:sz="2" w:space="0" w:color="231F20"/>
                        </w:tcBorders>
                      </w:tcPr>
                      <w:p>
                        <w:pPr>
                          <w:pStyle w:val="TableParagraph"/>
                          <w:spacing w:before="41"/>
                          <w:ind w:left="331" w:right="323"/>
                          <w:jc w:val="center"/>
                          <w:rPr>
                            <w:sz w:val="20"/>
                          </w:rPr>
                        </w:pPr>
                        <w:r>
                          <w:rPr>
                            <w:color w:val="231F20"/>
                            <w:sz w:val="20"/>
                          </w:rPr>
                          <w:t>0,813</w:t>
                        </w:r>
                      </w:p>
                    </w:tc>
                    <w:tc>
                      <w:tcPr>
                        <w:tcW w:w="1109" w:type="dxa"/>
                        <w:tcBorders>
                          <w:top w:val="single" w:sz="2" w:space="0" w:color="231F20"/>
                          <w:bottom w:val="single" w:sz="2" w:space="0" w:color="231F20"/>
                        </w:tcBorders>
                      </w:tcPr>
                      <w:p>
                        <w:pPr>
                          <w:pStyle w:val="TableParagraph"/>
                          <w:spacing w:before="41"/>
                          <w:ind w:left="321" w:right="192"/>
                          <w:jc w:val="center"/>
                          <w:rPr>
                            <w:sz w:val="20"/>
                          </w:rPr>
                        </w:pPr>
                        <w:r>
                          <w:rPr>
                            <w:color w:val="231F20"/>
                            <w:sz w:val="20"/>
                          </w:rPr>
                          <w:t>55,360</w:t>
                        </w:r>
                      </w:p>
                    </w:tc>
                    <w:tc>
                      <w:tcPr>
                        <w:tcW w:w="787" w:type="dxa"/>
                        <w:tcBorders>
                          <w:top w:val="single" w:sz="2" w:space="0" w:color="231F20"/>
                          <w:bottom w:val="single" w:sz="2" w:space="0" w:color="231F20"/>
                        </w:tcBorders>
                      </w:tcPr>
                      <w:p>
                        <w:pPr>
                          <w:pStyle w:val="TableParagraph"/>
                          <w:spacing w:before="41"/>
                          <w:ind w:left="188" w:right="251"/>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before="0"/>
                          <w:rPr>
                            <w:sz w:val="18"/>
                          </w:rPr>
                        </w:pPr>
                      </w:p>
                    </w:tc>
                    <w:tc>
                      <w:tcPr>
                        <w:tcW w:w="869" w:type="dxa"/>
                        <w:tcBorders>
                          <w:top w:val="single" w:sz="2" w:space="0" w:color="231F20"/>
                          <w:bottom w:val="single" w:sz="2" w:space="0" w:color="231F20"/>
                        </w:tcBorders>
                      </w:tcPr>
                      <w:p>
                        <w:pPr>
                          <w:pStyle w:val="TableParagraph"/>
                          <w:spacing w:before="41"/>
                          <w:ind w:right="417"/>
                          <w:jc w:val="right"/>
                          <w:rPr>
                            <w:sz w:val="20"/>
                          </w:rPr>
                        </w:pPr>
                        <w:r>
                          <w:rPr>
                            <w:color w:val="231F20"/>
                            <w:sz w:val="20"/>
                          </w:rPr>
                          <w:t>P3</w:t>
                        </w:r>
                      </w:p>
                    </w:tc>
                    <w:tc>
                      <w:tcPr>
                        <w:tcW w:w="1151" w:type="dxa"/>
                        <w:tcBorders>
                          <w:top w:val="single" w:sz="2" w:space="0" w:color="231F20"/>
                          <w:bottom w:val="single" w:sz="2" w:space="0" w:color="231F20"/>
                        </w:tcBorders>
                      </w:tcPr>
                      <w:p>
                        <w:pPr>
                          <w:pStyle w:val="TableParagraph"/>
                          <w:spacing w:before="41"/>
                          <w:ind w:left="331" w:right="322"/>
                          <w:jc w:val="center"/>
                          <w:rPr>
                            <w:sz w:val="20"/>
                          </w:rPr>
                        </w:pPr>
                        <w:r>
                          <w:rPr>
                            <w:color w:val="231F20"/>
                            <w:sz w:val="20"/>
                          </w:rPr>
                          <w:t>0,832</w:t>
                        </w:r>
                      </w:p>
                    </w:tc>
                    <w:tc>
                      <w:tcPr>
                        <w:tcW w:w="1109" w:type="dxa"/>
                        <w:tcBorders>
                          <w:top w:val="single" w:sz="2" w:space="0" w:color="231F20"/>
                          <w:bottom w:val="single" w:sz="2" w:space="0" w:color="231F20"/>
                        </w:tcBorders>
                      </w:tcPr>
                      <w:p>
                        <w:pPr>
                          <w:pStyle w:val="TableParagraph"/>
                          <w:spacing w:before="41"/>
                          <w:ind w:left="321" w:right="191"/>
                          <w:jc w:val="center"/>
                          <w:rPr>
                            <w:sz w:val="20"/>
                          </w:rPr>
                        </w:pPr>
                        <w:r>
                          <w:rPr>
                            <w:color w:val="231F20"/>
                            <w:sz w:val="20"/>
                          </w:rPr>
                          <w:t>57,075</w:t>
                        </w:r>
                      </w:p>
                    </w:tc>
                    <w:tc>
                      <w:tcPr>
                        <w:tcW w:w="787" w:type="dxa"/>
                        <w:tcBorders>
                          <w:top w:val="single" w:sz="2" w:space="0" w:color="231F20"/>
                          <w:bottom w:val="single" w:sz="2" w:space="0" w:color="231F20"/>
                        </w:tcBorders>
                      </w:tcPr>
                      <w:p>
                        <w:pPr>
                          <w:pStyle w:val="TableParagraph"/>
                          <w:spacing w:before="41"/>
                          <w:ind w:left="188" w:right="250"/>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r>
                    <w:trPr>
                      <w:trHeight w:val="303" w:hRule="atLeast"/>
                    </w:trPr>
                    <w:tc>
                      <w:tcPr>
                        <w:tcW w:w="1191" w:type="dxa"/>
                      </w:tcPr>
                      <w:p>
                        <w:pPr>
                          <w:pStyle w:val="TableParagraph"/>
                          <w:spacing w:line="134" w:lineRule="exact" w:before="0"/>
                          <w:ind w:left="82"/>
                          <w:rPr>
                            <w:sz w:val="20"/>
                          </w:rPr>
                        </w:pPr>
                        <w:r>
                          <w:rPr>
                            <w:color w:val="231F20"/>
                            <w:sz w:val="20"/>
                          </w:rPr>
                          <w:t>Bileşen 2:</w:t>
                        </w:r>
                      </w:p>
                      <w:p>
                        <w:pPr>
                          <w:pStyle w:val="TableParagraph"/>
                          <w:spacing w:line="140" w:lineRule="exact" w:before="10"/>
                          <w:ind w:left="82"/>
                          <w:rPr>
                            <w:sz w:val="20"/>
                          </w:rPr>
                        </w:pPr>
                        <w:r>
                          <w:rPr>
                            <w:color w:val="231F20"/>
                            <w:sz w:val="20"/>
                          </w:rPr>
                          <w:t>Planlamada</w:t>
                        </w:r>
                      </w:p>
                    </w:tc>
                    <w:tc>
                      <w:tcPr>
                        <w:tcW w:w="869" w:type="dxa"/>
                        <w:tcBorders>
                          <w:top w:val="single" w:sz="2" w:space="0" w:color="231F20"/>
                          <w:bottom w:val="single" w:sz="2" w:space="0" w:color="231F20"/>
                        </w:tcBorders>
                      </w:tcPr>
                      <w:p>
                        <w:pPr>
                          <w:pStyle w:val="TableParagraph"/>
                          <w:spacing w:before="41"/>
                          <w:ind w:right="417"/>
                          <w:jc w:val="right"/>
                          <w:rPr>
                            <w:sz w:val="20"/>
                          </w:rPr>
                        </w:pPr>
                        <w:r>
                          <w:rPr>
                            <w:color w:val="231F20"/>
                            <w:sz w:val="20"/>
                          </w:rPr>
                          <w:t>P4</w:t>
                        </w:r>
                      </w:p>
                    </w:tc>
                    <w:tc>
                      <w:tcPr>
                        <w:tcW w:w="1151" w:type="dxa"/>
                        <w:tcBorders>
                          <w:top w:val="single" w:sz="2" w:space="0" w:color="231F20"/>
                          <w:bottom w:val="single" w:sz="2" w:space="0" w:color="231F20"/>
                        </w:tcBorders>
                      </w:tcPr>
                      <w:p>
                        <w:pPr>
                          <w:pStyle w:val="TableParagraph"/>
                          <w:spacing w:before="41"/>
                          <w:ind w:left="331" w:right="322"/>
                          <w:jc w:val="center"/>
                          <w:rPr>
                            <w:sz w:val="20"/>
                          </w:rPr>
                        </w:pPr>
                        <w:r>
                          <w:rPr>
                            <w:color w:val="231F20"/>
                            <w:sz w:val="20"/>
                          </w:rPr>
                          <w:t>0,798</w:t>
                        </w:r>
                      </w:p>
                    </w:tc>
                    <w:tc>
                      <w:tcPr>
                        <w:tcW w:w="1109" w:type="dxa"/>
                        <w:tcBorders>
                          <w:top w:val="single" w:sz="2" w:space="0" w:color="231F20"/>
                          <w:bottom w:val="single" w:sz="2" w:space="0" w:color="231F20"/>
                        </w:tcBorders>
                      </w:tcPr>
                      <w:p>
                        <w:pPr>
                          <w:pStyle w:val="TableParagraph"/>
                          <w:spacing w:before="41"/>
                          <w:ind w:left="321" w:right="191"/>
                          <w:jc w:val="center"/>
                          <w:rPr>
                            <w:sz w:val="20"/>
                          </w:rPr>
                        </w:pPr>
                        <w:r>
                          <w:rPr>
                            <w:color w:val="231F20"/>
                            <w:sz w:val="20"/>
                          </w:rPr>
                          <w:t>54,093</w:t>
                        </w:r>
                      </w:p>
                    </w:tc>
                    <w:tc>
                      <w:tcPr>
                        <w:tcW w:w="787" w:type="dxa"/>
                        <w:tcBorders>
                          <w:top w:val="single" w:sz="2" w:space="0" w:color="231F20"/>
                          <w:bottom w:val="single" w:sz="2" w:space="0" w:color="231F20"/>
                        </w:tcBorders>
                      </w:tcPr>
                      <w:p>
                        <w:pPr>
                          <w:pStyle w:val="TableParagraph"/>
                          <w:spacing w:before="41"/>
                          <w:ind w:left="188" w:right="250"/>
                          <w:jc w:val="center"/>
                          <w:rPr>
                            <w:sz w:val="20"/>
                          </w:rPr>
                        </w:pPr>
                        <w:r>
                          <w:rPr>
                            <w:color w:val="231F20"/>
                            <w:sz w:val="20"/>
                          </w:rPr>
                          <w:t>***</w:t>
                        </w:r>
                      </w:p>
                    </w:tc>
                    <w:tc>
                      <w:tcPr>
                        <w:tcW w:w="582" w:type="dxa"/>
                      </w:tcPr>
                      <w:p>
                        <w:pPr>
                          <w:pStyle w:val="TableParagraph"/>
                          <w:spacing w:before="0"/>
                          <w:rPr>
                            <w:sz w:val="18"/>
                          </w:rPr>
                        </w:pPr>
                      </w:p>
                    </w:tc>
                    <w:tc>
                      <w:tcPr>
                        <w:tcW w:w="851" w:type="dxa"/>
                      </w:tcPr>
                      <w:p>
                        <w:pPr>
                          <w:pStyle w:val="TableParagraph"/>
                          <w:spacing w:before="0"/>
                          <w:rPr>
                            <w:sz w:val="18"/>
                          </w:rPr>
                        </w:pPr>
                      </w:p>
                    </w:tc>
                    <w:tc>
                      <w:tcPr>
                        <w:tcW w:w="1007" w:type="dxa"/>
                      </w:tcPr>
                      <w:p>
                        <w:pPr>
                          <w:pStyle w:val="TableParagraph"/>
                          <w:spacing w:before="0"/>
                          <w:rPr>
                            <w:sz w:val="18"/>
                          </w:rPr>
                        </w:pPr>
                      </w:p>
                    </w:tc>
                  </w:tr>
                </w:tbl>
                <w:p>
                  <w:pPr>
                    <w:pStyle w:val="BodyText"/>
                  </w:pPr>
                </w:p>
              </w:txbxContent>
            </v:textbox>
            <w10:wrap type="none"/>
          </v:shape>
        </w:pict>
      </w:r>
      <w:r>
        <w:rPr>
          <w:color w:val="231F20"/>
        </w:rPr>
        <w:t>Liderlik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after="0"/>
        <w:sectPr>
          <w:type w:val="continuous"/>
          <w:pgSz w:w="9530" w:h="13610"/>
          <w:pgMar w:top="620" w:bottom="540" w:left="740" w:right="740"/>
        </w:sectPr>
      </w:pPr>
    </w:p>
    <w:p>
      <w:pPr>
        <w:pStyle w:val="BodyText"/>
        <w:spacing w:line="249" w:lineRule="auto" w:before="97"/>
        <w:ind w:left="334" w:right="21"/>
      </w:pPr>
      <w:r>
        <w:rPr>
          <w:color w:val="231F20"/>
        </w:rPr>
        <w:t>Çevik Liderlik Becerisi Algısı</w:t>
      </w:r>
    </w:p>
    <w:p>
      <w:pPr>
        <w:pStyle w:val="BodyText"/>
        <w:tabs>
          <w:tab w:pos="1370" w:val="left" w:leader="none"/>
          <w:tab w:pos="2510" w:val="left" w:leader="none"/>
          <w:tab w:pos="3486" w:val="left" w:leader="none"/>
        </w:tabs>
        <w:spacing w:before="63"/>
        <w:ind w:left="383"/>
      </w:pPr>
      <w:r>
        <w:rPr/>
        <w:br w:type="column"/>
      </w:r>
      <w:r>
        <w:rPr>
          <w:color w:val="231F20"/>
        </w:rPr>
        <w:t>P5</w:t>
        <w:tab/>
        <w:t>0,737</w:t>
        <w:tab/>
        <w:t>49,034</w:t>
        <w:tab/>
      </w:r>
      <w:r>
        <w:rPr>
          <w:color w:val="231F20"/>
          <w:spacing w:val="-7"/>
        </w:rPr>
        <w:t>***</w:t>
      </w:r>
    </w:p>
    <w:p>
      <w:pPr>
        <w:pStyle w:val="BodyText"/>
        <w:tabs>
          <w:tab w:pos="1370" w:val="left" w:leader="none"/>
          <w:tab w:pos="2510" w:val="left" w:leader="none"/>
          <w:tab w:pos="3486" w:val="left" w:leader="none"/>
        </w:tabs>
        <w:spacing w:before="79"/>
        <w:ind w:left="384"/>
      </w:pPr>
      <w:r>
        <w:rPr/>
        <w:pict>
          <v:group style="position:absolute;margin-left:109.134003pt;margin-top:1.637932pt;width:195.6pt;height:.25pt;mso-position-horizontal-relative:page;mso-position-vertical-relative:paragraph;z-index:15744512" coordorigin="2183,33" coordsize="3912,5">
            <v:line style="position:absolute" from="2183,35" to="2863,35" stroked="true" strokeweight=".25pt" strokecolor="#231f20">
              <v:stroke dashstyle="solid"/>
            </v:line>
            <v:line style="position:absolute" from="2863,35" to="4394,35" stroked="true" strokeweight=".25pt" strokecolor="#231f20">
              <v:stroke dashstyle="solid"/>
            </v:line>
            <v:line style="position:absolute" from="4394,35" to="5244,35" stroked="true" strokeweight=".25pt" strokecolor="#231f20">
              <v:stroke dashstyle="solid"/>
            </v:line>
            <v:line style="position:absolute" from="5244,35" to="6095,35" stroked="true" strokeweight=".25pt" strokecolor="#231f20">
              <v:stroke dashstyle="solid"/>
            </v:line>
            <w10:wrap type="none"/>
          </v:group>
        </w:pict>
      </w:r>
      <w:r>
        <w:rPr/>
        <w:pict>
          <v:group style="position:absolute;margin-left:109.134003pt;margin-top:17.074932pt;width:195.6pt;height:.25pt;mso-position-horizontal-relative:page;mso-position-vertical-relative:paragraph;z-index:15745024" coordorigin="2183,341" coordsize="3912,5">
            <v:line style="position:absolute" from="2183,344" to="2863,344" stroked="true" strokeweight=".25pt" strokecolor="#231f20">
              <v:stroke dashstyle="solid"/>
            </v:line>
            <v:line style="position:absolute" from="2863,344" to="4394,344" stroked="true" strokeweight=".25pt" strokecolor="#231f20">
              <v:stroke dashstyle="solid"/>
            </v:line>
            <v:line style="position:absolute" from="4394,344" to="5244,344" stroked="true" strokeweight=".25pt" strokecolor="#231f20">
              <v:stroke dashstyle="solid"/>
            </v:line>
            <v:line style="position:absolute" from="5244,344" to="6095,344" stroked="true" strokeweight=".25pt" strokecolor="#231f20">
              <v:stroke dashstyle="solid"/>
            </v:line>
            <w10:wrap type="none"/>
          </v:group>
        </w:pict>
      </w:r>
      <w:r>
        <w:rPr>
          <w:color w:val="231F20"/>
        </w:rPr>
        <w:t>P6</w:t>
        <w:tab/>
        <w:t>0,797</w:t>
        <w:tab/>
        <w:t>53,977</w:t>
        <w:tab/>
      </w:r>
      <w:r>
        <w:rPr>
          <w:color w:val="231F20"/>
          <w:spacing w:val="-7"/>
        </w:rPr>
        <w:t>***</w:t>
      </w:r>
    </w:p>
    <w:p>
      <w:pPr>
        <w:pStyle w:val="BodyText"/>
        <w:tabs>
          <w:tab w:pos="1370" w:val="left" w:leader="none"/>
          <w:tab w:pos="2511" w:val="left" w:leader="none"/>
          <w:tab w:pos="3486" w:val="left" w:leader="none"/>
        </w:tabs>
        <w:spacing w:before="79"/>
        <w:ind w:left="384"/>
      </w:pPr>
      <w:r>
        <w:rPr/>
        <w:pict>
          <v:group style="position:absolute;margin-left:109.134003pt;margin-top:17.071945pt;width:195.6pt;height:.25pt;mso-position-horizontal-relative:page;mso-position-vertical-relative:paragraph;z-index:15745536" coordorigin="2183,341" coordsize="3912,5">
            <v:line style="position:absolute" from="2183,344" to="2863,344" stroked="true" strokeweight=".25pt" strokecolor="#231f20">
              <v:stroke dashstyle="solid"/>
            </v:line>
            <v:line style="position:absolute" from="2863,344" to="4394,344" stroked="true" strokeweight=".25pt" strokecolor="#231f20">
              <v:stroke dashstyle="solid"/>
            </v:line>
            <v:line style="position:absolute" from="4394,344" to="5244,344" stroked="true" strokeweight=".25pt" strokecolor="#231f20">
              <v:stroke dashstyle="solid"/>
            </v:line>
            <v:line style="position:absolute" from="5244,344" to="6095,344" stroked="true" strokeweight=".25pt" strokecolor="#231f20">
              <v:stroke dashstyle="solid"/>
            </v:line>
            <w10:wrap type="none"/>
          </v:group>
        </w:pict>
      </w:r>
      <w:r>
        <w:rPr>
          <w:color w:val="231F20"/>
        </w:rPr>
        <w:t>P7</w:t>
        <w:tab/>
        <w:t>0,790</w:t>
        <w:tab/>
        <w:t>53,437</w:t>
        <w:tab/>
      </w:r>
      <w:r>
        <w:rPr>
          <w:color w:val="231F20"/>
          <w:spacing w:val="-7"/>
        </w:rPr>
        <w:t>***</w:t>
      </w:r>
    </w:p>
    <w:p>
      <w:pPr>
        <w:pStyle w:val="BodyText"/>
        <w:tabs>
          <w:tab w:pos="1370" w:val="left" w:leader="none"/>
          <w:tab w:pos="2511" w:val="left" w:leader="none"/>
          <w:tab w:pos="3486" w:val="left" w:leader="none"/>
        </w:tabs>
        <w:spacing w:before="79"/>
        <w:ind w:left="384"/>
      </w:pPr>
      <w:r>
        <w:rPr/>
        <w:pict>
          <v:group style="position:absolute;margin-left:109.134003pt;margin-top:17.068935pt;width:195.6pt;height:.25pt;mso-position-horizontal-relative:page;mso-position-vertical-relative:paragraph;z-index:15746048" coordorigin="2183,341" coordsize="3912,5">
            <v:line style="position:absolute" from="2183,344" to="2863,344" stroked="true" strokeweight=".25pt" strokecolor="#231f20">
              <v:stroke dashstyle="solid"/>
            </v:line>
            <v:line style="position:absolute" from="2863,344" to="4394,344" stroked="true" strokeweight=".25pt" strokecolor="#231f20">
              <v:stroke dashstyle="solid"/>
            </v:line>
            <v:line style="position:absolute" from="4394,344" to="5244,344" stroked="true" strokeweight=".25pt" strokecolor="#231f20">
              <v:stroke dashstyle="solid"/>
            </v:line>
            <v:line style="position:absolute" from="5244,344" to="6095,344" stroked="true" strokeweight=".25pt" strokecolor="#231f20">
              <v:stroke dashstyle="solid"/>
            </v:line>
            <w10:wrap type="none"/>
          </v:group>
        </w:pict>
      </w:r>
      <w:r>
        <w:rPr>
          <w:color w:val="231F20"/>
        </w:rPr>
        <w:t>P8</w:t>
        <w:tab/>
        <w:t>0,789</w:t>
        <w:tab/>
        <w:t>53,295</w:t>
        <w:tab/>
      </w:r>
      <w:r>
        <w:rPr>
          <w:color w:val="231F20"/>
          <w:spacing w:val="-7"/>
        </w:rPr>
        <w:t>***</w:t>
      </w:r>
    </w:p>
    <w:p>
      <w:pPr>
        <w:pStyle w:val="BodyText"/>
        <w:tabs>
          <w:tab w:pos="1370" w:val="left" w:leader="none"/>
          <w:tab w:pos="2511" w:val="left" w:leader="none"/>
          <w:tab w:pos="3486" w:val="left" w:leader="none"/>
        </w:tabs>
        <w:spacing w:before="78"/>
        <w:ind w:left="384"/>
      </w:pPr>
      <w:r>
        <w:rPr/>
        <w:pict>
          <v:group style="position:absolute;margin-left:109.134003pt;margin-top:17.01594pt;width:195.6pt;height:.25pt;mso-position-horizontal-relative:page;mso-position-vertical-relative:paragraph;z-index:15746560" coordorigin="2183,340" coordsize="3912,5">
            <v:line style="position:absolute" from="2183,343" to="2863,343" stroked="true" strokeweight=".25pt" strokecolor="#231f20">
              <v:stroke dashstyle="solid"/>
            </v:line>
            <v:line style="position:absolute" from="2863,343" to="4394,343" stroked="true" strokeweight=".25pt" strokecolor="#231f20">
              <v:stroke dashstyle="solid"/>
            </v:line>
            <v:line style="position:absolute" from="4394,343" to="5244,343" stroked="true" strokeweight=".25pt" strokecolor="#231f20">
              <v:stroke dashstyle="solid"/>
            </v:line>
            <v:line style="position:absolute" from="5244,343" to="6095,343" stroked="true" strokeweight=".25pt" strokecolor="#231f20">
              <v:stroke dashstyle="solid"/>
            </v:line>
            <w10:wrap type="none"/>
          </v:group>
        </w:pict>
      </w:r>
      <w:r>
        <w:rPr>
          <w:color w:val="231F20"/>
        </w:rPr>
        <w:t>P9</w:t>
        <w:tab/>
        <w:t>0,750</w:t>
        <w:tab/>
        <w:t>50,063</w:t>
        <w:tab/>
      </w:r>
      <w:r>
        <w:rPr>
          <w:color w:val="231F20"/>
          <w:spacing w:val="-7"/>
        </w:rPr>
        <w:t>***</w:t>
      </w:r>
    </w:p>
    <w:p>
      <w:pPr>
        <w:pStyle w:val="BodyText"/>
        <w:tabs>
          <w:tab w:pos="1371" w:val="left" w:leader="none"/>
          <w:tab w:pos="2511" w:val="left" w:leader="none"/>
          <w:tab w:pos="3487" w:val="left" w:leader="none"/>
        </w:tabs>
        <w:spacing w:before="79"/>
        <w:ind w:left="334"/>
      </w:pPr>
      <w:r>
        <w:rPr>
          <w:color w:val="231F20"/>
        </w:rPr>
        <w:t>P10</w:t>
        <w:tab/>
        <w:t>0,770</w:t>
        <w:tab/>
        <w:t>51,702</w:t>
        <w:tab/>
      </w:r>
      <w:r>
        <w:rPr>
          <w:color w:val="231F20"/>
          <w:spacing w:val="-7"/>
        </w:rPr>
        <w:t>***</w:t>
      </w:r>
    </w:p>
    <w:p>
      <w:pPr>
        <w:pStyle w:val="BodyText"/>
        <w:spacing w:before="10"/>
        <w:rPr>
          <w:sz w:val="18"/>
        </w:rPr>
      </w:pPr>
      <w:r>
        <w:rPr/>
        <w:br w:type="column"/>
      </w:r>
      <w:r>
        <w:rPr>
          <w:sz w:val="18"/>
        </w:rPr>
      </w:r>
    </w:p>
    <w:p>
      <w:pPr>
        <w:pStyle w:val="BodyText"/>
        <w:tabs>
          <w:tab w:pos="993" w:val="left" w:leader="none"/>
          <w:tab w:pos="1985" w:val="left" w:leader="none"/>
        </w:tabs>
        <w:ind w:left="285"/>
      </w:pPr>
      <w:r>
        <w:rPr>
          <w:color w:val="231F20"/>
        </w:rPr>
        <w:t>0,62</w:t>
        <w:tab/>
        <w:t>0,94</w:t>
        <w:tab/>
        <w:t>0,97</w:t>
      </w:r>
    </w:p>
    <w:p>
      <w:pPr>
        <w:spacing w:after="0"/>
        <w:sectPr>
          <w:type w:val="continuous"/>
          <w:pgSz w:w="9530" w:h="13610"/>
          <w:pgMar w:top="620" w:bottom="540" w:left="740" w:right="740"/>
          <w:cols w:num="3" w:equalWidth="0">
            <w:col w:w="1031" w:space="267"/>
            <w:col w:w="3788" w:space="39"/>
            <w:col w:w="2925"/>
          </w:cols>
        </w:sectPr>
      </w:pPr>
    </w:p>
    <w:p>
      <w:pPr>
        <w:pStyle w:val="BodyText"/>
        <w:spacing w:before="9"/>
        <w:rPr>
          <w:sz w:val="2"/>
        </w:rPr>
      </w:pP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2" to="1191,2" stroked="true" strokeweight=".25pt" strokecolor="#231f20">
              <v:stroke dashstyle="solid"/>
            </v:line>
            <v:line style="position:absolute" from="1191,2" to="1871,2" stroked="true" strokeweight=".25pt" strokecolor="#231f20">
              <v:stroke dashstyle="solid"/>
            </v:line>
            <v:line style="position:absolute" from="1871,2" to="3402,2" stroked="true" strokeweight=".25pt" strokecolor="#231f20">
              <v:stroke dashstyle="solid"/>
            </v:line>
            <v:line style="position:absolute" from="3402,2" to="4252,2" stroked="true" strokeweight=".25pt" strokecolor="#231f20">
              <v:stroke dashstyle="solid"/>
            </v:line>
            <v:line style="position:absolute" from="4252,2" to="5102,2" stroked="true" strokeweight=".25pt" strokecolor="#231f20">
              <v:stroke dashstyle="solid"/>
            </v:line>
            <v:line style="position:absolute" from="5102,2" to="5556,2" stroked="true" strokeweight=".25pt" strokecolor="#231f20">
              <v:stroke dashstyle="solid"/>
            </v:line>
            <v:line style="position:absolute" from="5556,2" to="6520,2" stroked="true" strokeweight=".25pt" strokecolor="#231f20">
              <v:stroke dashstyle="solid"/>
            </v:line>
            <v:line style="position:absolute" from="6520,2" to="7540,2" stroked="true" strokeweight=".25pt" strokecolor="#231f20">
              <v:stroke dashstyle="solid"/>
            </v:line>
          </v:group>
        </w:pict>
      </w:r>
      <w:r>
        <w:rPr>
          <w:sz w:val="2"/>
        </w:rPr>
      </w:r>
    </w:p>
    <w:p>
      <w:pPr>
        <w:pStyle w:val="Heading1"/>
        <w:tabs>
          <w:tab w:pos="5411" w:val="left" w:leader="none"/>
          <w:tab w:pos="6120" w:val="left" w:leader="none"/>
          <w:tab w:pos="7112" w:val="left" w:leader="none"/>
        </w:tabs>
        <w:spacing w:before="27"/>
        <w:ind w:left="336"/>
      </w:pPr>
      <w:r>
        <w:rPr/>
        <w:pict>
          <v:group style="position:absolute;margin-left:49.6063pt;margin-top:14.334636pt;width:377.05pt;height:.5pt;mso-position-horizontal-relative:page;mso-position-vertical-relative:paragraph;z-index:-15713280;mso-wrap-distance-left:0;mso-wrap-distance-right:0" coordorigin="992,287" coordsize="7541,10">
            <v:line style="position:absolute" from="992,292" to="2183,292" stroked="true" strokeweight=".5pt" strokecolor="#231f20">
              <v:stroke dashstyle="solid"/>
            </v:line>
            <v:line style="position:absolute" from="2183,292" to="2863,292" stroked="true" strokeweight=".5pt" strokecolor="#231f20">
              <v:stroke dashstyle="solid"/>
            </v:line>
            <v:line style="position:absolute" from="2863,292" to="4394,292" stroked="true" strokeweight=".5pt" strokecolor="#231f20">
              <v:stroke dashstyle="solid"/>
            </v:line>
            <v:line style="position:absolute" from="4394,292" to="5244,292" stroked="true" strokeweight=".5pt" strokecolor="#231f20">
              <v:stroke dashstyle="solid"/>
            </v:line>
            <v:line style="position:absolute" from="5244,292" to="6094,292" stroked="true" strokeweight=".5pt" strokecolor="#231f20">
              <v:stroke dashstyle="solid"/>
            </v:line>
            <v:line style="position:absolute" from="6094,292" to="6548,292" stroked="true" strokeweight=".5pt" strokecolor="#231f20">
              <v:stroke dashstyle="solid"/>
            </v:line>
            <v:line style="position:absolute" from="6548,292" to="7512,292" stroked="true" strokeweight=".5pt" strokecolor="#231f20">
              <v:stroke dashstyle="solid"/>
            </v:line>
            <v:line style="position:absolute" from="7512,292" to="8532,292" stroked="true" strokeweight=".5pt" strokecolor="#231f20">
              <v:stroke dashstyle="solid"/>
            </v:line>
            <w10:wrap type="topAndBottom"/>
          </v:group>
        </w:pict>
      </w:r>
      <w:r>
        <w:rPr>
          <w:color w:val="231F20"/>
        </w:rPr>
        <w:t>Genel Ölçek</w:t>
        <w:tab/>
        <w:t>0,66</w:t>
        <w:tab/>
        <w:t>0,98</w:t>
        <w:tab/>
        <w:t>0,98</w:t>
      </w:r>
    </w:p>
    <w:p>
      <w:pPr>
        <w:spacing w:after="0"/>
        <w:sectPr>
          <w:type w:val="continuous"/>
          <w:pgSz w:w="9530" w:h="13610"/>
          <w:pgMar w:top="620" w:bottom="540" w:left="740" w:right="740"/>
        </w:sectPr>
      </w:pPr>
    </w:p>
    <w:p>
      <w:pPr>
        <w:pStyle w:val="BodyText"/>
        <w:rPr>
          <w:b/>
        </w:rPr>
      </w:pPr>
    </w:p>
    <w:p>
      <w:pPr>
        <w:pStyle w:val="BodyText"/>
        <w:spacing w:before="1"/>
        <w:rPr>
          <w:b/>
        </w:rPr>
      </w:pPr>
    </w:p>
    <w:p>
      <w:pPr>
        <w:pStyle w:val="ListParagraph"/>
        <w:numPr>
          <w:ilvl w:val="1"/>
          <w:numId w:val="1"/>
        </w:numPr>
        <w:tabs>
          <w:tab w:pos="603" w:val="left" w:leader="none"/>
        </w:tabs>
        <w:spacing w:line="240" w:lineRule="auto" w:before="1" w:after="0"/>
        <w:ind w:left="602" w:right="0" w:hanging="351"/>
        <w:jc w:val="left"/>
        <w:rPr>
          <w:b/>
          <w:sz w:val="20"/>
        </w:rPr>
      </w:pPr>
      <w:r>
        <w:rPr>
          <w:b/>
          <w:color w:val="034694"/>
          <w:sz w:val="20"/>
        </w:rPr>
        <w:t>KOMB Ölçeği</w:t>
      </w:r>
    </w:p>
    <w:p>
      <w:pPr>
        <w:pStyle w:val="BodyText"/>
        <w:spacing w:line="249" w:lineRule="auto" w:before="123"/>
        <w:ind w:left="252" w:right="250" w:firstLine="567"/>
        <w:jc w:val="both"/>
      </w:pPr>
      <w:r>
        <w:rPr>
          <w:color w:val="231F20"/>
        </w:rPr>
        <w:t>Araştırma örneklemine ait yapısının doğrulanması amacıyla KOMB Ölçeği’ne doğru- layıcı</w:t>
      </w:r>
      <w:r>
        <w:rPr>
          <w:color w:val="231F20"/>
          <w:spacing w:val="-7"/>
        </w:rPr>
        <w:t> </w:t>
      </w:r>
      <w:r>
        <w:rPr>
          <w:color w:val="231F20"/>
        </w:rPr>
        <w:t>faktör</w:t>
      </w:r>
      <w:r>
        <w:rPr>
          <w:color w:val="231F20"/>
          <w:spacing w:val="-6"/>
        </w:rPr>
        <w:t> </w:t>
      </w:r>
      <w:r>
        <w:rPr>
          <w:color w:val="231F20"/>
        </w:rPr>
        <w:t>analizi</w:t>
      </w:r>
      <w:r>
        <w:rPr>
          <w:color w:val="231F20"/>
          <w:spacing w:val="-6"/>
        </w:rPr>
        <w:t> </w:t>
      </w:r>
      <w:r>
        <w:rPr>
          <w:color w:val="231F20"/>
        </w:rPr>
        <w:t>uygulanmıştır.</w:t>
      </w:r>
      <w:r>
        <w:rPr>
          <w:color w:val="231F20"/>
          <w:spacing w:val="-5"/>
        </w:rPr>
        <w:t> </w:t>
      </w:r>
      <w:r>
        <w:rPr>
          <w:color w:val="231F20"/>
        </w:rPr>
        <w:t>Doğrulayıcı</w:t>
      </w:r>
      <w:r>
        <w:rPr>
          <w:color w:val="231F20"/>
          <w:spacing w:val="-7"/>
        </w:rPr>
        <w:t> </w:t>
      </w:r>
      <w:r>
        <w:rPr>
          <w:color w:val="231F20"/>
        </w:rPr>
        <w:t>Faktör</w:t>
      </w:r>
      <w:r>
        <w:rPr>
          <w:color w:val="231F20"/>
          <w:spacing w:val="-6"/>
        </w:rPr>
        <w:t> </w:t>
      </w:r>
      <w:r>
        <w:rPr>
          <w:color w:val="231F20"/>
        </w:rPr>
        <w:t>Analizine</w:t>
      </w:r>
      <w:r>
        <w:rPr>
          <w:color w:val="231F20"/>
          <w:spacing w:val="-6"/>
        </w:rPr>
        <w:t> </w:t>
      </w:r>
      <w:r>
        <w:rPr>
          <w:color w:val="231F20"/>
        </w:rPr>
        <w:t>göre</w:t>
      </w:r>
      <w:r>
        <w:rPr>
          <w:color w:val="231F20"/>
          <w:spacing w:val="-5"/>
        </w:rPr>
        <w:t> </w:t>
      </w:r>
      <w:r>
        <w:rPr>
          <w:color w:val="231F20"/>
        </w:rPr>
        <w:t>ölçeğin</w:t>
      </w:r>
      <w:r>
        <w:rPr>
          <w:color w:val="231F20"/>
          <w:spacing w:val="-6"/>
        </w:rPr>
        <w:t> </w:t>
      </w:r>
      <w:r>
        <w:rPr>
          <w:color w:val="231F20"/>
        </w:rPr>
        <w:t>yapısal</w:t>
      </w:r>
      <w:r>
        <w:rPr>
          <w:color w:val="231F20"/>
          <w:spacing w:val="-7"/>
        </w:rPr>
        <w:t> </w:t>
      </w:r>
      <w:r>
        <w:rPr>
          <w:color w:val="231F20"/>
        </w:rPr>
        <w:t>denklem model sonucu (Structural Equation Modeling Results) p=0,000 düzeyinde anlamlı; 11 madde ve 3 alt boyutun ölçek yapısıyla ilişkili olduğu görülmüştür.</w:t>
      </w:r>
    </w:p>
    <w:p>
      <w:pPr>
        <w:pStyle w:val="BodyText"/>
        <w:spacing w:line="249" w:lineRule="auto" w:before="117"/>
        <w:ind w:left="252" w:right="248" w:firstLine="567"/>
        <w:jc w:val="both"/>
      </w:pPr>
      <w:r>
        <w:rPr>
          <w:color w:val="231F20"/>
        </w:rPr>
        <w:t>Birinci Düzey DFA sonucunda modelin uyum iyiliği değerlerine bakıldığında, modelin genel uyumunu gösteren χ2/df değeri, karşılaştırmalı uyum indekslerinden NFI ve CFI değer- leri</w:t>
      </w:r>
      <w:r>
        <w:rPr>
          <w:color w:val="231F20"/>
          <w:spacing w:val="-10"/>
        </w:rPr>
        <w:t> </w:t>
      </w:r>
      <w:r>
        <w:rPr>
          <w:color w:val="231F20"/>
        </w:rPr>
        <w:t>ile</w:t>
      </w:r>
      <w:r>
        <w:rPr>
          <w:color w:val="231F20"/>
          <w:spacing w:val="-9"/>
        </w:rPr>
        <w:t> </w:t>
      </w:r>
      <w:r>
        <w:rPr>
          <w:color w:val="231F20"/>
        </w:rPr>
        <w:t>mutlak</w:t>
      </w:r>
      <w:r>
        <w:rPr>
          <w:color w:val="231F20"/>
          <w:spacing w:val="-9"/>
        </w:rPr>
        <w:t> </w:t>
      </w:r>
      <w:r>
        <w:rPr>
          <w:color w:val="231F20"/>
        </w:rPr>
        <w:t>uyum</w:t>
      </w:r>
      <w:r>
        <w:rPr>
          <w:color w:val="231F20"/>
          <w:spacing w:val="-9"/>
        </w:rPr>
        <w:t> </w:t>
      </w:r>
      <w:r>
        <w:rPr>
          <w:color w:val="231F20"/>
        </w:rPr>
        <w:t>indekslerinden</w:t>
      </w:r>
      <w:r>
        <w:rPr>
          <w:color w:val="231F20"/>
          <w:spacing w:val="-9"/>
        </w:rPr>
        <w:t> </w:t>
      </w:r>
      <w:r>
        <w:rPr>
          <w:color w:val="231F20"/>
        </w:rPr>
        <w:t>GFI</w:t>
      </w:r>
      <w:r>
        <w:rPr>
          <w:color w:val="231F20"/>
          <w:spacing w:val="-10"/>
        </w:rPr>
        <w:t> </w:t>
      </w:r>
      <w:r>
        <w:rPr>
          <w:color w:val="231F20"/>
        </w:rPr>
        <w:t>değerlerinin</w:t>
      </w:r>
      <w:r>
        <w:rPr>
          <w:color w:val="231F20"/>
          <w:spacing w:val="-9"/>
        </w:rPr>
        <w:t> </w:t>
      </w:r>
      <w:r>
        <w:rPr>
          <w:color w:val="231F20"/>
        </w:rPr>
        <w:t>mükemmel</w:t>
      </w:r>
      <w:r>
        <w:rPr>
          <w:color w:val="231F20"/>
          <w:spacing w:val="-9"/>
        </w:rPr>
        <w:t> </w:t>
      </w:r>
      <w:r>
        <w:rPr>
          <w:color w:val="231F20"/>
        </w:rPr>
        <w:t>uyum</w:t>
      </w:r>
      <w:r>
        <w:rPr>
          <w:color w:val="231F20"/>
          <w:spacing w:val="-9"/>
        </w:rPr>
        <w:t> </w:t>
      </w:r>
      <w:r>
        <w:rPr>
          <w:color w:val="231F20"/>
        </w:rPr>
        <w:t>gösterdiği</w:t>
      </w:r>
      <w:r>
        <w:rPr>
          <w:color w:val="231F20"/>
          <w:spacing w:val="-9"/>
        </w:rPr>
        <w:t> </w:t>
      </w:r>
      <w:r>
        <w:rPr>
          <w:color w:val="231F20"/>
        </w:rPr>
        <w:t>gözlenmekle birlikte, RMSEA ve AGFI uyum indeksleri ile artık temelli uyum indeksinin (SRMR) kabul edilebilir</w:t>
      </w:r>
      <w:r>
        <w:rPr>
          <w:color w:val="231F20"/>
          <w:spacing w:val="-8"/>
        </w:rPr>
        <w:t> </w:t>
      </w:r>
      <w:r>
        <w:rPr>
          <w:color w:val="231F20"/>
        </w:rPr>
        <w:t>sınır</w:t>
      </w:r>
      <w:r>
        <w:rPr>
          <w:color w:val="231F20"/>
          <w:spacing w:val="-8"/>
        </w:rPr>
        <w:t> </w:t>
      </w:r>
      <w:r>
        <w:rPr>
          <w:color w:val="231F20"/>
        </w:rPr>
        <w:t>değerleri</w:t>
      </w:r>
      <w:r>
        <w:rPr>
          <w:color w:val="231F20"/>
          <w:spacing w:val="-7"/>
        </w:rPr>
        <w:t> </w:t>
      </w:r>
      <w:r>
        <w:rPr>
          <w:color w:val="231F20"/>
        </w:rPr>
        <w:t>arasında</w:t>
      </w:r>
      <w:r>
        <w:rPr>
          <w:color w:val="231F20"/>
          <w:spacing w:val="-8"/>
        </w:rPr>
        <w:t> </w:t>
      </w:r>
      <w:r>
        <w:rPr>
          <w:color w:val="231F20"/>
        </w:rPr>
        <w:t>yer</w:t>
      </w:r>
      <w:r>
        <w:rPr>
          <w:color w:val="231F20"/>
          <w:spacing w:val="-7"/>
        </w:rPr>
        <w:t> </w:t>
      </w:r>
      <w:r>
        <w:rPr>
          <w:color w:val="231F20"/>
        </w:rPr>
        <w:t>almadıkları</w:t>
      </w:r>
      <w:r>
        <w:rPr>
          <w:color w:val="231F20"/>
          <w:spacing w:val="-8"/>
        </w:rPr>
        <w:t> </w:t>
      </w:r>
      <w:r>
        <w:rPr>
          <w:color w:val="231F20"/>
        </w:rPr>
        <w:t>tespit</w:t>
      </w:r>
      <w:r>
        <w:rPr>
          <w:color w:val="231F20"/>
          <w:spacing w:val="-7"/>
        </w:rPr>
        <w:t> </w:t>
      </w:r>
      <w:r>
        <w:rPr>
          <w:color w:val="231F20"/>
        </w:rPr>
        <w:t>edilmiştir.</w:t>
      </w:r>
      <w:r>
        <w:rPr>
          <w:color w:val="231F20"/>
          <w:spacing w:val="-8"/>
        </w:rPr>
        <w:t> </w:t>
      </w:r>
      <w:r>
        <w:rPr>
          <w:color w:val="231F20"/>
        </w:rPr>
        <w:t>Bu</w:t>
      </w:r>
      <w:r>
        <w:rPr>
          <w:color w:val="231F20"/>
          <w:spacing w:val="-7"/>
        </w:rPr>
        <w:t> </w:t>
      </w:r>
      <w:r>
        <w:rPr>
          <w:color w:val="231F20"/>
        </w:rPr>
        <w:t>uyum</w:t>
      </w:r>
      <w:r>
        <w:rPr>
          <w:color w:val="231F20"/>
          <w:spacing w:val="-8"/>
        </w:rPr>
        <w:t> </w:t>
      </w:r>
      <w:r>
        <w:rPr>
          <w:color w:val="231F20"/>
        </w:rPr>
        <w:t>indekslerini</w:t>
      </w:r>
      <w:r>
        <w:rPr>
          <w:color w:val="231F20"/>
          <w:spacing w:val="-7"/>
        </w:rPr>
        <w:t> </w:t>
      </w:r>
      <w:r>
        <w:rPr>
          <w:color w:val="231F20"/>
        </w:rPr>
        <w:t>düzelt- mek amacıyla modelde iyileştirmeler yapılmıştır. İyileştirme yapılırken modifikasyon indeks- leri (MI) değerleri yüksek hatalar arasında kovaryans oluşturulmuştur (e3-e4; e5-e6; e6-e7; e5-e8). İyileştirmeler sonrasında yenilenen uyum indeksleri hesaplamalarında uyum indisleri için kabul edilen değerlerin sağlandığı görülmektedir (Ort χ2(B-S): 55,725; df:37; p:0,000 ; χ2 /df: 1,506 ; RMSEA: 0,092 ; GFI:0, 943 ; AGFI: 0,898 ; SRMR: 0,055 ; NFI: 0, 941 ;</w:t>
      </w:r>
      <w:r>
        <w:rPr>
          <w:color w:val="231F20"/>
          <w:spacing w:val="15"/>
        </w:rPr>
        <w:t> </w:t>
      </w:r>
      <w:r>
        <w:rPr>
          <w:color w:val="231F20"/>
        </w:rPr>
        <w:t>CFI;</w:t>
      </w:r>
    </w:p>
    <w:p>
      <w:pPr>
        <w:pStyle w:val="BodyText"/>
        <w:spacing w:before="8"/>
        <w:ind w:left="252"/>
      </w:pPr>
      <w:r>
        <w:rPr>
          <w:color w:val="231F20"/>
        </w:rPr>
        <w:t>0,943).</w:t>
      </w:r>
    </w:p>
    <w:p>
      <w:pPr>
        <w:pStyle w:val="BodyText"/>
        <w:spacing w:before="7"/>
      </w:pPr>
    </w:p>
    <w:p>
      <w:pPr>
        <w:pStyle w:val="Heading1"/>
      </w:pPr>
      <w:r>
        <w:rPr/>
        <w:pict>
          <v:group style="position:absolute;margin-left:49.6063pt;margin-top:16.167944pt;width:377.05pt;height:304.75pt;mso-position-horizontal-relative:page;mso-position-vertical-relative:paragraph;z-index:-15709184;mso-wrap-distance-left:0;mso-wrap-distance-right:0" coordorigin="992,323" coordsize="7541,6095">
            <v:line style="position:absolute" from="992,328" to="8532,328" stroked="true" strokeweight=".5pt" strokecolor="#231f20">
              <v:stroke dashstyle="solid"/>
            </v:line>
            <v:line style="position:absolute" from="997,6408" to="997,333" stroked="true" strokeweight=".5pt" strokecolor="#231f20">
              <v:stroke dashstyle="solid"/>
            </v:line>
            <v:line style="position:absolute" from="8527,6408" to="8527,333" stroked="true" strokeweight=".5pt" strokecolor="#231f20">
              <v:stroke dashstyle="solid"/>
            </v:line>
            <v:line style="position:absolute" from="992,6413" to="8532,6413" stroked="true" strokeweight=".5pt" strokecolor="#231f20">
              <v:stroke dashstyle="solid"/>
            </v:line>
            <v:shape style="position:absolute;left:2416;top:548;width:3946;height:5731" type="#_x0000_t75" stroked="false">
              <v:imagedata r:id="rId20" o:title=""/>
            </v:shape>
            <w10:wrap type="topAndBottom"/>
          </v:group>
        </w:pict>
      </w:r>
      <w:r>
        <w:rPr>
          <w:color w:val="231F20"/>
        </w:rPr>
        <w:t>Şekil 5: KOMB Ölçeğine İlişkin Birinci Düzey DFA Modeli</w:t>
      </w:r>
    </w:p>
    <w:p>
      <w:pPr>
        <w:spacing w:after="0"/>
        <w:sectPr>
          <w:pgSz w:w="9530" w:h="13610"/>
          <w:pgMar w:header="860" w:footer="344" w:top="1060" w:bottom="540" w:left="740" w:right="740"/>
        </w:sectPr>
      </w:pPr>
    </w:p>
    <w:p>
      <w:pPr>
        <w:pStyle w:val="BodyText"/>
        <w:rPr>
          <w:b/>
        </w:rPr>
      </w:pPr>
    </w:p>
    <w:p>
      <w:pPr>
        <w:pStyle w:val="BodyText"/>
        <w:spacing w:before="1"/>
        <w:rPr>
          <w:b/>
        </w:rPr>
      </w:pPr>
    </w:p>
    <w:p>
      <w:pPr>
        <w:pStyle w:val="BodyText"/>
        <w:spacing w:line="249" w:lineRule="auto" w:before="1"/>
        <w:ind w:left="252" w:right="248" w:firstLine="567"/>
        <w:jc w:val="both"/>
      </w:pPr>
      <w:r>
        <w:rPr>
          <w:color w:val="231F20"/>
        </w:rPr>
        <w:t>Ölçüm modeline ilişkin DFA sonuçları incelendiğinde, 11 maddeden oluşan ölçeğin üç faktörlü yapısının doğrulanmış olduğu görülmektedir. 11 maddeden oluşan ölçeğin en düşük faktör yük değerinin 0,52 en yüksek faktör yük değerinin 0,82; tüm korelasyon ilişkilerinin anlamlı</w:t>
      </w:r>
      <w:r>
        <w:rPr>
          <w:color w:val="231F20"/>
          <w:spacing w:val="-6"/>
        </w:rPr>
        <w:t> </w:t>
      </w:r>
      <w:r>
        <w:rPr>
          <w:color w:val="231F20"/>
        </w:rPr>
        <w:t>olduğu</w:t>
      </w:r>
      <w:r>
        <w:rPr>
          <w:color w:val="231F20"/>
          <w:spacing w:val="-5"/>
        </w:rPr>
        <w:t> </w:t>
      </w:r>
      <w:r>
        <w:rPr>
          <w:color w:val="231F20"/>
        </w:rPr>
        <w:t>görülmektedir.</w:t>
      </w:r>
      <w:r>
        <w:rPr>
          <w:color w:val="231F20"/>
          <w:spacing w:val="-5"/>
        </w:rPr>
        <w:t> </w:t>
      </w:r>
      <w:r>
        <w:rPr>
          <w:color w:val="231F20"/>
        </w:rPr>
        <w:t>Faktörlerin</w:t>
      </w:r>
      <w:r>
        <w:rPr>
          <w:color w:val="231F20"/>
          <w:spacing w:val="-7"/>
        </w:rPr>
        <w:t> </w:t>
      </w:r>
      <w:r>
        <w:rPr>
          <w:color w:val="231F20"/>
        </w:rPr>
        <w:t>anlamlılıklarına</w:t>
      </w:r>
      <w:r>
        <w:rPr>
          <w:color w:val="231F20"/>
          <w:spacing w:val="-6"/>
        </w:rPr>
        <w:t> </w:t>
      </w:r>
      <w:r>
        <w:rPr>
          <w:color w:val="231F20"/>
        </w:rPr>
        <w:t>ilişkin</w:t>
      </w:r>
      <w:r>
        <w:rPr>
          <w:color w:val="231F20"/>
          <w:spacing w:val="-5"/>
        </w:rPr>
        <w:t> </w:t>
      </w:r>
      <w:r>
        <w:rPr>
          <w:color w:val="231F20"/>
        </w:rPr>
        <w:t>t</w:t>
      </w:r>
      <w:r>
        <w:rPr>
          <w:color w:val="231F20"/>
          <w:spacing w:val="-6"/>
        </w:rPr>
        <w:t> </w:t>
      </w:r>
      <w:r>
        <w:rPr>
          <w:color w:val="231F20"/>
        </w:rPr>
        <w:t>istatistikleri</w:t>
      </w:r>
      <w:r>
        <w:rPr>
          <w:color w:val="231F20"/>
          <w:spacing w:val="-5"/>
        </w:rPr>
        <w:t> </w:t>
      </w:r>
      <w:r>
        <w:rPr>
          <w:color w:val="231F20"/>
        </w:rPr>
        <w:t>incelendiğinde tüm faktörlerin anlamlı olduğu tespit edilmiştir (p&lt;0,05). Ölçeğin faktör deseninin kabul edi- lebilir düzeyde olduğu tespit edilmiştir. CR değerleri eşik değer olan 0,70 değerinin üzerinde olmakla birlikte, ölçme modelindeki karmaşıklık ve oynaklık faktörlerinin AVE değeri eşik değer olan 0,50 değerinin altındadır. Ancak, diğer ölçüm değerleri yeterli düzeyde olduğunda AVE’nin 0,5 değerinden küçük olması kabul edilebilir (Fornell &amp; Larcker, 1981; Berthon vd., 2005). Fornell &amp; Larcker’a göre CR değeri 0,6’nın üzerinde olduğunda, 0,4’ün üzerindeki AVE değerleri kabul</w:t>
      </w:r>
      <w:r>
        <w:rPr>
          <w:color w:val="231F20"/>
          <w:spacing w:val="-2"/>
        </w:rPr>
        <w:t> </w:t>
      </w:r>
      <w:r>
        <w:rPr>
          <w:color w:val="231F20"/>
        </w:rPr>
        <w:t>edilebilmektedir.</w:t>
      </w:r>
    </w:p>
    <w:p>
      <w:pPr>
        <w:pStyle w:val="BodyText"/>
        <w:spacing w:before="5"/>
      </w:pPr>
    </w:p>
    <w:p>
      <w:pPr>
        <w:pStyle w:val="Heading1"/>
      </w:pPr>
      <w:r>
        <w:rPr/>
        <w:pict>
          <v:shape style="position:absolute;margin-left:49.6063pt;margin-top:16.418941pt;width:377.05pt;height:70.6pt;mso-position-horizontal-relative:page;mso-position-vertical-relative:paragraph;z-index:157496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9"/>
                    <w:gridCol w:w="906"/>
                    <w:gridCol w:w="1225"/>
                    <w:gridCol w:w="1131"/>
                    <w:gridCol w:w="965"/>
                    <w:gridCol w:w="2198"/>
                  </w:tblGrid>
                  <w:tr>
                    <w:trPr>
                      <w:trHeight w:val="394" w:hRule="atLeast"/>
                    </w:trPr>
                    <w:tc>
                      <w:tcPr>
                        <w:tcW w:w="4381" w:type="dxa"/>
                        <w:gridSpan w:val="4"/>
                        <w:tcBorders>
                          <w:top w:val="single" w:sz="4" w:space="0" w:color="231F20"/>
                        </w:tcBorders>
                      </w:tcPr>
                      <w:p>
                        <w:pPr>
                          <w:pStyle w:val="TableParagraph"/>
                          <w:tabs>
                            <w:tab w:pos="3865" w:val="left" w:leader="none"/>
                          </w:tabs>
                          <w:spacing w:line="218" w:lineRule="auto" w:before="43"/>
                          <w:ind w:left="2206"/>
                          <w:rPr>
                            <w:b/>
                            <w:sz w:val="20"/>
                          </w:rPr>
                        </w:pPr>
                        <w:r>
                          <w:rPr>
                            <w:b/>
                            <w:color w:val="231F20"/>
                            <w:sz w:val="20"/>
                          </w:rPr>
                          <w:t>Parametre</w:t>
                          <w:tab/>
                        </w:r>
                        <w:r>
                          <w:rPr>
                            <w:b/>
                            <w:color w:val="231F20"/>
                            <w:position w:val="-11"/>
                            <w:sz w:val="20"/>
                          </w:rPr>
                          <w:t>t</w:t>
                        </w:r>
                      </w:p>
                    </w:tc>
                    <w:tc>
                      <w:tcPr>
                        <w:tcW w:w="3163" w:type="dxa"/>
                        <w:gridSpan w:val="2"/>
                        <w:tcBorders>
                          <w:top w:val="single" w:sz="4" w:space="0" w:color="231F20"/>
                        </w:tcBorders>
                      </w:tcPr>
                      <w:p>
                        <w:pPr>
                          <w:pStyle w:val="TableParagraph"/>
                          <w:tabs>
                            <w:tab w:pos="2126" w:val="left" w:leader="none"/>
                          </w:tabs>
                          <w:spacing w:line="217" w:lineRule="exact" w:before="157"/>
                          <w:ind w:left="426"/>
                          <w:rPr>
                            <w:b/>
                            <w:sz w:val="20"/>
                          </w:rPr>
                        </w:pPr>
                        <w:r>
                          <w:rPr>
                            <w:b/>
                            <w:color w:val="231F20"/>
                            <w:sz w:val="20"/>
                          </w:rPr>
                          <w:t>p</w:t>
                          <w:tab/>
                          <w:t>Cronbach’s</w:t>
                        </w:r>
                      </w:p>
                    </w:tc>
                  </w:tr>
                  <w:tr>
                    <w:trPr>
                      <w:trHeight w:val="384" w:hRule="atLeast"/>
                    </w:trPr>
                    <w:tc>
                      <w:tcPr>
                        <w:tcW w:w="1119" w:type="dxa"/>
                        <w:tcBorders>
                          <w:bottom w:val="single" w:sz="4" w:space="0" w:color="231F20"/>
                        </w:tcBorders>
                      </w:tcPr>
                      <w:p>
                        <w:pPr>
                          <w:pStyle w:val="TableParagraph"/>
                          <w:spacing w:line="113" w:lineRule="exact" w:before="0"/>
                          <w:ind w:left="79"/>
                          <w:rPr>
                            <w:b/>
                            <w:sz w:val="20"/>
                          </w:rPr>
                        </w:pPr>
                        <w:r>
                          <w:rPr>
                            <w:b/>
                            <w:color w:val="231F20"/>
                            <w:sz w:val="20"/>
                          </w:rPr>
                          <w:t>Boyutlar</w:t>
                        </w:r>
                      </w:p>
                    </w:tc>
                    <w:tc>
                      <w:tcPr>
                        <w:tcW w:w="3262" w:type="dxa"/>
                        <w:gridSpan w:val="3"/>
                        <w:tcBorders>
                          <w:bottom w:val="single" w:sz="4" w:space="0" w:color="231F20"/>
                        </w:tcBorders>
                      </w:tcPr>
                      <w:p>
                        <w:pPr>
                          <w:pStyle w:val="TableParagraph"/>
                          <w:tabs>
                            <w:tab w:pos="1066" w:val="left" w:leader="none"/>
                            <w:tab w:pos="2379" w:val="left" w:leader="none"/>
                          </w:tabs>
                          <w:spacing w:line="88" w:lineRule="auto" w:before="0"/>
                          <w:ind w:left="46"/>
                          <w:rPr>
                            <w:b/>
                            <w:sz w:val="20"/>
                          </w:rPr>
                        </w:pPr>
                        <w:r>
                          <w:rPr>
                            <w:b/>
                            <w:color w:val="231F20"/>
                            <w:sz w:val="20"/>
                          </w:rPr>
                          <w:t>İfadeler</w:t>
                          <w:tab/>
                          <w:t>Tahminleri</w:t>
                          <w:tab/>
                        </w:r>
                        <w:r>
                          <w:rPr>
                            <w:b/>
                            <w:color w:val="231F20"/>
                            <w:position w:val="-11"/>
                            <w:sz w:val="20"/>
                          </w:rPr>
                          <w:t>Değerleri</w:t>
                        </w:r>
                      </w:p>
                    </w:tc>
                    <w:tc>
                      <w:tcPr>
                        <w:tcW w:w="965" w:type="dxa"/>
                        <w:tcBorders>
                          <w:bottom w:val="single" w:sz="4" w:space="0" w:color="231F20"/>
                        </w:tcBorders>
                      </w:tcPr>
                      <w:p>
                        <w:pPr>
                          <w:pStyle w:val="TableParagraph"/>
                          <w:spacing w:before="3"/>
                          <w:ind w:left="62" w:right="62"/>
                          <w:jc w:val="center"/>
                          <w:rPr>
                            <w:b/>
                            <w:sz w:val="20"/>
                          </w:rPr>
                        </w:pPr>
                        <w:r>
                          <w:rPr>
                            <w:b/>
                            <w:color w:val="231F20"/>
                            <w:sz w:val="20"/>
                          </w:rPr>
                          <w:t>Değerleri</w:t>
                        </w:r>
                      </w:p>
                    </w:tc>
                    <w:tc>
                      <w:tcPr>
                        <w:tcW w:w="2198" w:type="dxa"/>
                        <w:tcBorders>
                          <w:bottom w:val="single" w:sz="4" w:space="0" w:color="231F20"/>
                        </w:tcBorders>
                      </w:tcPr>
                      <w:p>
                        <w:pPr>
                          <w:pStyle w:val="TableParagraph"/>
                          <w:tabs>
                            <w:tab w:pos="707" w:val="left" w:leader="none"/>
                            <w:tab w:pos="1394" w:val="left" w:leader="none"/>
                          </w:tabs>
                          <w:spacing w:line="88" w:lineRule="auto" w:before="0"/>
                          <w:ind w:left="94"/>
                          <w:rPr>
                            <w:b/>
                            <w:sz w:val="20"/>
                          </w:rPr>
                        </w:pPr>
                        <w:r>
                          <w:rPr>
                            <w:b/>
                            <w:color w:val="231F20"/>
                            <w:spacing w:val="-9"/>
                            <w:sz w:val="20"/>
                          </w:rPr>
                          <w:t>AVE</w:t>
                          <w:tab/>
                        </w:r>
                        <w:r>
                          <w:rPr>
                            <w:b/>
                            <w:color w:val="231F20"/>
                            <w:sz w:val="20"/>
                          </w:rPr>
                          <w:t>CR</w:t>
                          <w:tab/>
                        </w:r>
                        <w:r>
                          <w:rPr>
                            <w:b/>
                            <w:color w:val="231F20"/>
                            <w:position w:val="-11"/>
                            <w:sz w:val="20"/>
                          </w:rPr>
                          <w:t>Alpha</w:t>
                        </w:r>
                      </w:p>
                    </w:tc>
                  </w:tr>
                  <w:tr>
                    <w:trPr>
                      <w:trHeight w:val="301" w:hRule="atLeast"/>
                    </w:trPr>
                    <w:tc>
                      <w:tcPr>
                        <w:tcW w:w="1119" w:type="dxa"/>
                        <w:tcBorders>
                          <w:top w:val="single" w:sz="4" w:space="0" w:color="231F20"/>
                        </w:tcBorders>
                      </w:tcPr>
                      <w:p>
                        <w:pPr>
                          <w:pStyle w:val="TableParagraph"/>
                          <w:spacing w:before="0"/>
                          <w:rPr>
                            <w:sz w:val="18"/>
                          </w:rPr>
                        </w:pPr>
                      </w:p>
                    </w:tc>
                    <w:tc>
                      <w:tcPr>
                        <w:tcW w:w="3262" w:type="dxa"/>
                        <w:gridSpan w:val="3"/>
                        <w:tcBorders>
                          <w:top w:val="single" w:sz="4" w:space="0" w:color="231F20"/>
                          <w:bottom w:val="single" w:sz="2" w:space="0" w:color="231F20"/>
                        </w:tcBorders>
                      </w:tcPr>
                      <w:p>
                        <w:pPr>
                          <w:pStyle w:val="TableParagraph"/>
                          <w:tabs>
                            <w:tab w:pos="1306" w:val="left" w:leader="none"/>
                            <w:tab w:pos="2746" w:val="left" w:leader="none"/>
                          </w:tabs>
                          <w:spacing w:before="37"/>
                          <w:ind w:left="260"/>
                          <w:rPr>
                            <w:sz w:val="20"/>
                          </w:rPr>
                        </w:pPr>
                        <w:r>
                          <w:rPr>
                            <w:color w:val="231F20"/>
                            <w:sz w:val="20"/>
                          </w:rPr>
                          <w:t>K1</w:t>
                          <w:tab/>
                          <w:t>0,780</w:t>
                          <w:tab/>
                          <w:t>-</w:t>
                        </w:r>
                      </w:p>
                    </w:tc>
                    <w:tc>
                      <w:tcPr>
                        <w:tcW w:w="965" w:type="dxa"/>
                        <w:tcBorders>
                          <w:top w:val="single" w:sz="4" w:space="0" w:color="231F20"/>
                          <w:bottom w:val="single" w:sz="2" w:space="0" w:color="231F20"/>
                        </w:tcBorders>
                      </w:tcPr>
                      <w:p>
                        <w:pPr>
                          <w:pStyle w:val="TableParagraph"/>
                          <w:spacing w:before="37"/>
                          <w:jc w:val="center"/>
                          <w:rPr>
                            <w:sz w:val="20"/>
                          </w:rPr>
                        </w:pPr>
                        <w:r>
                          <w:rPr>
                            <w:color w:val="231F20"/>
                            <w:sz w:val="20"/>
                          </w:rPr>
                          <w:t>-</w:t>
                        </w:r>
                      </w:p>
                    </w:tc>
                    <w:tc>
                      <w:tcPr>
                        <w:tcW w:w="2198" w:type="dxa"/>
                        <w:tcBorders>
                          <w:top w:val="single" w:sz="4" w:space="0" w:color="231F20"/>
                        </w:tcBorders>
                      </w:tcPr>
                      <w:p>
                        <w:pPr>
                          <w:pStyle w:val="TableParagraph"/>
                          <w:spacing w:before="0"/>
                          <w:rPr>
                            <w:sz w:val="18"/>
                          </w:rPr>
                        </w:pPr>
                      </w:p>
                    </w:tc>
                  </w:tr>
                  <w:tr>
                    <w:trPr>
                      <w:trHeight w:val="303" w:hRule="atLeast"/>
                    </w:trPr>
                    <w:tc>
                      <w:tcPr>
                        <w:tcW w:w="2025" w:type="dxa"/>
                        <w:gridSpan w:val="2"/>
                      </w:tcPr>
                      <w:p>
                        <w:pPr>
                          <w:pStyle w:val="TableParagraph"/>
                          <w:spacing w:before="37"/>
                          <w:ind w:right="398"/>
                          <w:jc w:val="right"/>
                          <w:rPr>
                            <w:sz w:val="20"/>
                          </w:rPr>
                        </w:pPr>
                        <w:r>
                          <w:rPr>
                            <w:color w:val="231F20"/>
                            <w:sz w:val="20"/>
                          </w:rPr>
                          <w:t>K2</w:t>
                        </w:r>
                      </w:p>
                    </w:tc>
                    <w:tc>
                      <w:tcPr>
                        <w:tcW w:w="1225" w:type="dxa"/>
                        <w:tcBorders>
                          <w:bottom w:val="single" w:sz="2" w:space="0" w:color="231F20"/>
                        </w:tcBorders>
                      </w:tcPr>
                      <w:p>
                        <w:pPr>
                          <w:pStyle w:val="TableParagraph"/>
                          <w:spacing w:before="37"/>
                          <w:ind w:left="400"/>
                          <w:rPr>
                            <w:sz w:val="20"/>
                          </w:rPr>
                        </w:pPr>
                        <w:r>
                          <w:rPr>
                            <w:color w:val="231F20"/>
                            <w:sz w:val="20"/>
                          </w:rPr>
                          <w:t>0,820</w:t>
                        </w:r>
                      </w:p>
                    </w:tc>
                    <w:tc>
                      <w:tcPr>
                        <w:tcW w:w="1131" w:type="dxa"/>
                        <w:tcBorders>
                          <w:bottom w:val="single" w:sz="2" w:space="0" w:color="231F20"/>
                        </w:tcBorders>
                      </w:tcPr>
                      <w:p>
                        <w:pPr>
                          <w:pStyle w:val="TableParagraph"/>
                          <w:spacing w:before="37"/>
                          <w:ind w:left="373"/>
                          <w:rPr>
                            <w:sz w:val="20"/>
                          </w:rPr>
                        </w:pPr>
                        <w:r>
                          <w:rPr>
                            <w:color w:val="231F20"/>
                            <w:sz w:val="20"/>
                          </w:rPr>
                          <w:t>51,915</w:t>
                        </w:r>
                      </w:p>
                    </w:tc>
                    <w:tc>
                      <w:tcPr>
                        <w:tcW w:w="965" w:type="dxa"/>
                        <w:tcBorders>
                          <w:bottom w:val="single" w:sz="2" w:space="0" w:color="231F20"/>
                        </w:tcBorders>
                      </w:tcPr>
                      <w:p>
                        <w:pPr>
                          <w:pStyle w:val="TableParagraph"/>
                          <w:spacing w:before="37"/>
                          <w:ind w:left="62" w:right="62"/>
                          <w:jc w:val="center"/>
                          <w:rPr>
                            <w:sz w:val="20"/>
                          </w:rPr>
                        </w:pPr>
                        <w:r>
                          <w:rPr>
                            <w:color w:val="231F20"/>
                            <w:sz w:val="20"/>
                          </w:rPr>
                          <w:t>***</w:t>
                        </w:r>
                      </w:p>
                    </w:tc>
                    <w:tc>
                      <w:tcPr>
                        <w:tcW w:w="2198" w:type="dxa"/>
                      </w:tcPr>
                      <w:p>
                        <w:pPr>
                          <w:pStyle w:val="TableParagraph"/>
                          <w:spacing w:before="0"/>
                          <w:rPr>
                            <w:sz w:val="18"/>
                          </w:rPr>
                        </w:pPr>
                      </w:p>
                    </w:tc>
                  </w:tr>
                </w:tbl>
                <w:p>
                  <w:pPr>
                    <w:pStyle w:val="BodyText"/>
                  </w:pPr>
                </w:p>
              </w:txbxContent>
            </v:textbox>
            <w10:wrap type="none"/>
          </v:shape>
        </w:pict>
      </w:r>
      <w:r>
        <w:rPr>
          <w:color w:val="231F20"/>
        </w:rPr>
        <w:t>Tablo 7: KOMB Ölçeğine İlişkin Doğrulayıcı Faktör Analizi Sonuçları (n=3805)</w:t>
      </w:r>
    </w:p>
    <w:p>
      <w:pPr>
        <w:pStyle w:val="BodyText"/>
        <w:rPr>
          <w:b/>
        </w:rPr>
      </w:pPr>
    </w:p>
    <w:p>
      <w:pPr>
        <w:pStyle w:val="BodyText"/>
        <w:rPr>
          <w:b/>
        </w:rPr>
      </w:pPr>
    </w:p>
    <w:p>
      <w:pPr>
        <w:spacing w:before="162"/>
        <w:ind w:left="2197" w:right="0" w:firstLine="0"/>
        <w:jc w:val="left"/>
        <w:rPr>
          <w:b/>
          <w:sz w:val="20"/>
        </w:rPr>
      </w:pPr>
      <w:r>
        <w:rPr/>
        <w:pict>
          <v:shape style="position:absolute;margin-left:49.6063pt;margin-top:52.277939pt;width:377.05pt;height:62pt;mso-position-horizontal-relative:page;mso-position-vertical-relative:paragraph;z-index:157491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9"/>
                    <w:gridCol w:w="906"/>
                    <w:gridCol w:w="1224"/>
                    <w:gridCol w:w="1130"/>
                    <w:gridCol w:w="964"/>
                    <w:gridCol w:w="1119"/>
                    <w:gridCol w:w="1077"/>
                  </w:tblGrid>
                  <w:tr>
                    <w:trPr>
                      <w:trHeight w:val="303" w:hRule="atLeast"/>
                    </w:trPr>
                    <w:tc>
                      <w:tcPr>
                        <w:tcW w:w="1119" w:type="dxa"/>
                      </w:tcPr>
                      <w:p>
                        <w:pPr>
                          <w:pStyle w:val="TableParagraph"/>
                          <w:spacing w:line="116" w:lineRule="exact" w:before="0"/>
                          <w:ind w:left="79"/>
                          <w:rPr>
                            <w:sz w:val="20"/>
                          </w:rPr>
                        </w:pPr>
                        <w:r>
                          <w:rPr>
                            <w:color w:val="231F20"/>
                            <w:sz w:val="20"/>
                          </w:rPr>
                          <w:t>Karmaşıklık</w:t>
                        </w:r>
                      </w:p>
                    </w:tc>
                    <w:tc>
                      <w:tcPr>
                        <w:tcW w:w="906" w:type="dxa"/>
                        <w:tcBorders>
                          <w:bottom w:val="single" w:sz="2" w:space="0" w:color="231F20"/>
                        </w:tcBorders>
                      </w:tcPr>
                      <w:p>
                        <w:pPr>
                          <w:pStyle w:val="TableParagraph"/>
                          <w:ind w:left="260"/>
                          <w:rPr>
                            <w:sz w:val="20"/>
                          </w:rPr>
                        </w:pPr>
                        <w:r>
                          <w:rPr>
                            <w:color w:val="231F20"/>
                            <w:sz w:val="20"/>
                          </w:rPr>
                          <w:t>K3</w:t>
                        </w:r>
                      </w:p>
                    </w:tc>
                    <w:tc>
                      <w:tcPr>
                        <w:tcW w:w="1224" w:type="dxa"/>
                        <w:tcBorders>
                          <w:bottom w:val="single" w:sz="2" w:space="0" w:color="231F20"/>
                        </w:tcBorders>
                      </w:tcPr>
                      <w:p>
                        <w:pPr>
                          <w:pStyle w:val="TableParagraph"/>
                          <w:ind w:left="379" w:right="352"/>
                          <w:jc w:val="center"/>
                          <w:rPr>
                            <w:sz w:val="20"/>
                          </w:rPr>
                        </w:pPr>
                        <w:r>
                          <w:rPr>
                            <w:color w:val="231F20"/>
                            <w:sz w:val="20"/>
                          </w:rPr>
                          <w:t>0,556</w:t>
                        </w:r>
                      </w:p>
                    </w:tc>
                    <w:tc>
                      <w:tcPr>
                        <w:tcW w:w="1130" w:type="dxa"/>
                        <w:tcBorders>
                          <w:bottom w:val="single" w:sz="2" w:space="0" w:color="231F20"/>
                        </w:tcBorders>
                      </w:tcPr>
                      <w:p>
                        <w:pPr>
                          <w:pStyle w:val="TableParagraph"/>
                          <w:ind w:left="354" w:right="185"/>
                          <w:jc w:val="center"/>
                          <w:rPr>
                            <w:sz w:val="20"/>
                          </w:rPr>
                        </w:pPr>
                        <w:r>
                          <w:rPr>
                            <w:color w:val="231F20"/>
                            <w:sz w:val="20"/>
                          </w:rPr>
                          <w:t>33,650</w:t>
                        </w:r>
                      </w:p>
                    </w:tc>
                    <w:tc>
                      <w:tcPr>
                        <w:tcW w:w="964" w:type="dxa"/>
                        <w:tcBorders>
                          <w:bottom w:val="single" w:sz="2" w:space="0" w:color="231F20"/>
                        </w:tcBorders>
                      </w:tcPr>
                      <w:p>
                        <w:pPr>
                          <w:pStyle w:val="TableParagraph"/>
                          <w:ind w:left="312" w:right="310"/>
                          <w:jc w:val="center"/>
                          <w:rPr>
                            <w:sz w:val="20"/>
                          </w:rPr>
                        </w:pPr>
                        <w:r>
                          <w:rPr>
                            <w:color w:val="231F20"/>
                            <w:sz w:val="20"/>
                          </w:rPr>
                          <w:t>***</w:t>
                        </w:r>
                      </w:p>
                    </w:tc>
                    <w:tc>
                      <w:tcPr>
                        <w:tcW w:w="1119" w:type="dxa"/>
                      </w:tcPr>
                      <w:p>
                        <w:pPr>
                          <w:pStyle w:val="TableParagraph"/>
                          <w:tabs>
                            <w:tab w:pos="680" w:val="left" w:leader="none"/>
                          </w:tabs>
                          <w:spacing w:line="116" w:lineRule="exact" w:before="0"/>
                          <w:ind w:left="120"/>
                          <w:rPr>
                            <w:sz w:val="20"/>
                          </w:rPr>
                        </w:pPr>
                        <w:r>
                          <w:rPr>
                            <w:color w:val="231F20"/>
                            <w:sz w:val="20"/>
                          </w:rPr>
                          <w:t>0,48</w:t>
                          <w:tab/>
                          <w:t>0,78</w:t>
                        </w:r>
                      </w:p>
                    </w:tc>
                    <w:tc>
                      <w:tcPr>
                        <w:tcW w:w="1077" w:type="dxa"/>
                        <w:tcBorders>
                          <w:top w:val="single" w:sz="2" w:space="0" w:color="231F20"/>
                          <w:bottom w:val="single" w:sz="2" w:space="0" w:color="231F20"/>
                        </w:tcBorders>
                      </w:tcPr>
                      <w:p>
                        <w:pPr>
                          <w:pStyle w:val="TableParagraph"/>
                          <w:ind w:left="344" w:right="341"/>
                          <w:jc w:val="center"/>
                          <w:rPr>
                            <w:sz w:val="20"/>
                          </w:rPr>
                        </w:pPr>
                        <w:r>
                          <w:rPr>
                            <w:color w:val="231F20"/>
                            <w:sz w:val="20"/>
                          </w:rPr>
                          <w:t>0,81</w:t>
                        </w:r>
                      </w:p>
                    </w:tc>
                  </w:tr>
                  <w:tr>
                    <w:trPr>
                      <w:trHeight w:val="303" w:hRule="atLeast"/>
                    </w:trPr>
                    <w:tc>
                      <w:tcPr>
                        <w:tcW w:w="1119" w:type="dxa"/>
                        <w:tcBorders>
                          <w:bottom w:val="single" w:sz="2" w:space="0" w:color="231F20"/>
                        </w:tcBorders>
                      </w:tcPr>
                      <w:p>
                        <w:pPr>
                          <w:pStyle w:val="TableParagraph"/>
                          <w:spacing w:before="0"/>
                          <w:rPr>
                            <w:sz w:val="18"/>
                          </w:rPr>
                        </w:pPr>
                      </w:p>
                    </w:tc>
                    <w:tc>
                      <w:tcPr>
                        <w:tcW w:w="906" w:type="dxa"/>
                        <w:tcBorders>
                          <w:top w:val="single" w:sz="2" w:space="0" w:color="231F20"/>
                          <w:bottom w:val="single" w:sz="2" w:space="0" w:color="231F20"/>
                        </w:tcBorders>
                      </w:tcPr>
                      <w:p>
                        <w:pPr>
                          <w:pStyle w:val="TableParagraph"/>
                          <w:ind w:left="261"/>
                          <w:rPr>
                            <w:sz w:val="20"/>
                          </w:rPr>
                        </w:pPr>
                        <w:r>
                          <w:rPr>
                            <w:color w:val="231F20"/>
                            <w:sz w:val="20"/>
                          </w:rPr>
                          <w:t>K4</w:t>
                        </w:r>
                      </w:p>
                    </w:tc>
                    <w:tc>
                      <w:tcPr>
                        <w:tcW w:w="1224" w:type="dxa"/>
                        <w:tcBorders>
                          <w:top w:val="single" w:sz="2" w:space="0" w:color="231F20"/>
                          <w:bottom w:val="single" w:sz="2" w:space="0" w:color="231F20"/>
                        </w:tcBorders>
                      </w:tcPr>
                      <w:p>
                        <w:pPr>
                          <w:pStyle w:val="TableParagraph"/>
                          <w:ind w:left="380" w:right="352"/>
                          <w:jc w:val="center"/>
                          <w:rPr>
                            <w:sz w:val="20"/>
                          </w:rPr>
                        </w:pPr>
                        <w:r>
                          <w:rPr>
                            <w:color w:val="231F20"/>
                            <w:sz w:val="20"/>
                          </w:rPr>
                          <w:t>0,576</w:t>
                        </w:r>
                      </w:p>
                    </w:tc>
                    <w:tc>
                      <w:tcPr>
                        <w:tcW w:w="1130" w:type="dxa"/>
                        <w:tcBorders>
                          <w:top w:val="single" w:sz="2" w:space="0" w:color="231F20"/>
                          <w:bottom w:val="single" w:sz="2" w:space="0" w:color="231F20"/>
                        </w:tcBorders>
                      </w:tcPr>
                      <w:p>
                        <w:pPr>
                          <w:pStyle w:val="TableParagraph"/>
                          <w:ind w:left="354" w:right="185"/>
                          <w:jc w:val="center"/>
                          <w:rPr>
                            <w:sz w:val="20"/>
                          </w:rPr>
                        </w:pPr>
                        <w:r>
                          <w:rPr>
                            <w:color w:val="231F20"/>
                            <w:sz w:val="20"/>
                          </w:rPr>
                          <w:t>34,995</w:t>
                        </w:r>
                      </w:p>
                    </w:tc>
                    <w:tc>
                      <w:tcPr>
                        <w:tcW w:w="964" w:type="dxa"/>
                        <w:tcBorders>
                          <w:top w:val="single" w:sz="2" w:space="0" w:color="231F20"/>
                          <w:bottom w:val="single" w:sz="2" w:space="0" w:color="231F20"/>
                        </w:tcBorders>
                      </w:tcPr>
                      <w:p>
                        <w:pPr>
                          <w:pStyle w:val="TableParagraph"/>
                          <w:ind w:left="313" w:right="310"/>
                          <w:jc w:val="center"/>
                          <w:rPr>
                            <w:sz w:val="20"/>
                          </w:rPr>
                        </w:pPr>
                        <w:r>
                          <w:rPr>
                            <w:color w:val="231F20"/>
                            <w:sz w:val="20"/>
                          </w:rPr>
                          <w:t>***</w:t>
                        </w:r>
                      </w:p>
                    </w:tc>
                    <w:tc>
                      <w:tcPr>
                        <w:tcW w:w="1119" w:type="dxa"/>
                        <w:tcBorders>
                          <w:bottom w:val="single" w:sz="2" w:space="0" w:color="231F20"/>
                        </w:tcBorders>
                      </w:tcPr>
                      <w:p>
                        <w:pPr>
                          <w:pStyle w:val="TableParagraph"/>
                          <w:spacing w:before="0"/>
                          <w:rPr>
                            <w:sz w:val="18"/>
                          </w:rPr>
                        </w:pPr>
                      </w:p>
                    </w:tc>
                    <w:tc>
                      <w:tcPr>
                        <w:tcW w:w="1077"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1119" w:type="dxa"/>
                        <w:tcBorders>
                          <w:top w:val="single" w:sz="2" w:space="0" w:color="231F20"/>
                        </w:tcBorders>
                      </w:tcPr>
                      <w:p>
                        <w:pPr>
                          <w:pStyle w:val="TableParagraph"/>
                          <w:spacing w:before="0"/>
                          <w:rPr>
                            <w:sz w:val="18"/>
                          </w:rPr>
                        </w:pPr>
                      </w:p>
                    </w:tc>
                    <w:tc>
                      <w:tcPr>
                        <w:tcW w:w="906" w:type="dxa"/>
                        <w:tcBorders>
                          <w:top w:val="single" w:sz="2" w:space="0" w:color="231F20"/>
                          <w:bottom w:val="single" w:sz="2" w:space="0" w:color="231F20"/>
                        </w:tcBorders>
                      </w:tcPr>
                      <w:p>
                        <w:pPr>
                          <w:pStyle w:val="TableParagraph"/>
                          <w:ind w:left="261"/>
                          <w:rPr>
                            <w:sz w:val="20"/>
                          </w:rPr>
                        </w:pPr>
                        <w:r>
                          <w:rPr>
                            <w:color w:val="231F20"/>
                            <w:sz w:val="20"/>
                          </w:rPr>
                          <w:t>O1</w:t>
                        </w:r>
                      </w:p>
                    </w:tc>
                    <w:tc>
                      <w:tcPr>
                        <w:tcW w:w="1224" w:type="dxa"/>
                        <w:tcBorders>
                          <w:top w:val="single" w:sz="2" w:space="0" w:color="231F20"/>
                          <w:bottom w:val="single" w:sz="2" w:space="0" w:color="231F20"/>
                        </w:tcBorders>
                      </w:tcPr>
                      <w:p>
                        <w:pPr>
                          <w:pStyle w:val="TableParagraph"/>
                          <w:ind w:left="380" w:right="352"/>
                          <w:jc w:val="center"/>
                          <w:rPr>
                            <w:sz w:val="20"/>
                          </w:rPr>
                        </w:pPr>
                        <w:r>
                          <w:rPr>
                            <w:color w:val="231F20"/>
                            <w:sz w:val="20"/>
                          </w:rPr>
                          <w:t>0,828</w:t>
                        </w:r>
                      </w:p>
                    </w:tc>
                    <w:tc>
                      <w:tcPr>
                        <w:tcW w:w="1130" w:type="dxa"/>
                        <w:tcBorders>
                          <w:top w:val="single" w:sz="2" w:space="0" w:color="231F20"/>
                          <w:bottom w:val="single" w:sz="2" w:space="0" w:color="231F20"/>
                        </w:tcBorders>
                      </w:tcPr>
                      <w:p>
                        <w:pPr>
                          <w:pStyle w:val="TableParagraph"/>
                          <w:ind w:left="169"/>
                          <w:jc w:val="center"/>
                          <w:rPr>
                            <w:sz w:val="20"/>
                          </w:rPr>
                        </w:pPr>
                        <w:r>
                          <w:rPr>
                            <w:color w:val="231F20"/>
                            <w:sz w:val="20"/>
                          </w:rPr>
                          <w:t>-</w:t>
                        </w:r>
                      </w:p>
                    </w:tc>
                    <w:tc>
                      <w:tcPr>
                        <w:tcW w:w="964" w:type="dxa"/>
                        <w:tcBorders>
                          <w:top w:val="single" w:sz="2" w:space="0" w:color="231F20"/>
                          <w:bottom w:val="single" w:sz="2" w:space="0" w:color="231F20"/>
                        </w:tcBorders>
                      </w:tcPr>
                      <w:p>
                        <w:pPr>
                          <w:pStyle w:val="TableParagraph"/>
                          <w:ind w:left="3"/>
                          <w:jc w:val="center"/>
                          <w:rPr>
                            <w:sz w:val="20"/>
                          </w:rPr>
                        </w:pPr>
                        <w:r>
                          <w:rPr>
                            <w:color w:val="231F20"/>
                            <w:sz w:val="20"/>
                          </w:rPr>
                          <w:t>-</w:t>
                        </w:r>
                      </w:p>
                    </w:tc>
                    <w:tc>
                      <w:tcPr>
                        <w:tcW w:w="1119" w:type="dxa"/>
                        <w:tcBorders>
                          <w:top w:val="single" w:sz="2" w:space="0" w:color="231F20"/>
                        </w:tcBorders>
                      </w:tcPr>
                      <w:p>
                        <w:pPr>
                          <w:pStyle w:val="TableParagraph"/>
                          <w:spacing w:before="0"/>
                          <w:rPr>
                            <w:sz w:val="18"/>
                          </w:rPr>
                        </w:pPr>
                      </w:p>
                    </w:tc>
                    <w:tc>
                      <w:tcPr>
                        <w:tcW w:w="1077"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2025" w:type="dxa"/>
                        <w:gridSpan w:val="2"/>
                      </w:tcPr>
                      <w:p>
                        <w:pPr>
                          <w:pStyle w:val="TableParagraph"/>
                          <w:spacing w:before="37"/>
                          <w:ind w:right="398"/>
                          <w:jc w:val="right"/>
                          <w:rPr>
                            <w:sz w:val="20"/>
                          </w:rPr>
                        </w:pPr>
                        <w:r>
                          <w:rPr>
                            <w:color w:val="231F20"/>
                            <w:sz w:val="20"/>
                          </w:rPr>
                          <w:t>O2</w:t>
                        </w:r>
                      </w:p>
                    </w:tc>
                    <w:tc>
                      <w:tcPr>
                        <w:tcW w:w="1224" w:type="dxa"/>
                        <w:tcBorders>
                          <w:bottom w:val="single" w:sz="2" w:space="0" w:color="231F20"/>
                        </w:tcBorders>
                      </w:tcPr>
                      <w:p>
                        <w:pPr>
                          <w:pStyle w:val="TableParagraph"/>
                          <w:spacing w:before="37"/>
                          <w:ind w:left="380" w:right="352"/>
                          <w:jc w:val="center"/>
                          <w:rPr>
                            <w:sz w:val="20"/>
                          </w:rPr>
                        </w:pPr>
                        <w:r>
                          <w:rPr>
                            <w:color w:val="231F20"/>
                            <w:sz w:val="20"/>
                          </w:rPr>
                          <w:t>0,538</w:t>
                        </w:r>
                      </w:p>
                    </w:tc>
                    <w:tc>
                      <w:tcPr>
                        <w:tcW w:w="1130" w:type="dxa"/>
                        <w:tcBorders>
                          <w:bottom w:val="single" w:sz="2" w:space="0" w:color="231F20"/>
                        </w:tcBorders>
                      </w:tcPr>
                      <w:p>
                        <w:pPr>
                          <w:pStyle w:val="TableParagraph"/>
                          <w:spacing w:before="37"/>
                          <w:ind w:left="354" w:right="185"/>
                          <w:jc w:val="center"/>
                          <w:rPr>
                            <w:sz w:val="20"/>
                          </w:rPr>
                        </w:pPr>
                        <w:r>
                          <w:rPr>
                            <w:color w:val="231F20"/>
                            <w:sz w:val="20"/>
                          </w:rPr>
                          <w:t>24,753</w:t>
                        </w:r>
                      </w:p>
                    </w:tc>
                    <w:tc>
                      <w:tcPr>
                        <w:tcW w:w="964" w:type="dxa"/>
                        <w:tcBorders>
                          <w:bottom w:val="single" w:sz="2" w:space="0" w:color="231F20"/>
                        </w:tcBorders>
                      </w:tcPr>
                      <w:p>
                        <w:pPr>
                          <w:pStyle w:val="TableParagraph"/>
                          <w:spacing w:before="37"/>
                          <w:ind w:left="313" w:right="310"/>
                          <w:jc w:val="center"/>
                          <w:rPr>
                            <w:sz w:val="20"/>
                          </w:rPr>
                        </w:pPr>
                        <w:r>
                          <w:rPr>
                            <w:color w:val="231F20"/>
                            <w:sz w:val="20"/>
                          </w:rPr>
                          <w:t>***</w:t>
                        </w:r>
                      </w:p>
                    </w:tc>
                    <w:tc>
                      <w:tcPr>
                        <w:tcW w:w="2196" w:type="dxa"/>
                        <w:gridSpan w:val="2"/>
                      </w:tcPr>
                      <w:p>
                        <w:pPr>
                          <w:pStyle w:val="TableParagraph"/>
                          <w:spacing w:before="0"/>
                          <w:rPr>
                            <w:sz w:val="18"/>
                          </w:rPr>
                        </w:pPr>
                      </w:p>
                    </w:tc>
                  </w:tr>
                </w:tbl>
                <w:p>
                  <w:pPr>
                    <w:pStyle w:val="BodyText"/>
                  </w:pPr>
                </w:p>
              </w:txbxContent>
            </v:textbox>
            <w10:wrap type="none"/>
          </v:shape>
        </w:pict>
      </w:r>
      <w:r>
        <w:rPr>
          <w:b/>
          <w:color w:val="231F20"/>
          <w:sz w:val="20"/>
        </w:rPr>
        <w:t>(Faktör Yükleri)</w:t>
      </w:r>
    </w:p>
    <w:p>
      <w:pPr>
        <w:pStyle w:val="BodyText"/>
        <w:spacing w:before="3"/>
        <w:rPr>
          <w:b/>
          <w:sz w:val="26"/>
        </w:rPr>
      </w:pPr>
      <w:r>
        <w:rPr/>
        <w:pict>
          <v:shape style="position:absolute;margin-left:372.778015pt;margin-top:17.234007pt;width:53.9pt;height:.1pt;mso-position-horizontal-relative:page;mso-position-vertical-relative:paragraph;z-index:-15708672;mso-wrap-distance-left:0;mso-wrap-distance-right:0" coordorigin="7456,345" coordsize="1078,0" path="m7456,345l8533,345e" filled="false" stroked="true" strokeweight=".25pt" strokecolor="#231f20">
            <v:path arrowok="t"/>
            <v:stroke dashstyle="solid"/>
            <w10:wrap type="topAndBottom"/>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11"/>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9"/>
        <w:gridCol w:w="906"/>
        <w:gridCol w:w="1224"/>
        <w:gridCol w:w="1130"/>
        <w:gridCol w:w="964"/>
        <w:gridCol w:w="575"/>
        <w:gridCol w:w="544"/>
        <w:gridCol w:w="1077"/>
      </w:tblGrid>
      <w:tr>
        <w:trPr>
          <w:trHeight w:val="303" w:hRule="atLeast"/>
        </w:trPr>
        <w:tc>
          <w:tcPr>
            <w:tcW w:w="1119" w:type="dxa"/>
          </w:tcPr>
          <w:p>
            <w:pPr>
              <w:pStyle w:val="TableParagraph"/>
              <w:spacing w:line="116" w:lineRule="exact" w:before="0"/>
              <w:ind w:left="79"/>
              <w:rPr>
                <w:sz w:val="20"/>
              </w:rPr>
            </w:pPr>
            <w:r>
              <w:rPr>
                <w:color w:val="231F20"/>
                <w:sz w:val="20"/>
              </w:rPr>
              <w:t>Oynaklık</w:t>
            </w:r>
          </w:p>
        </w:tc>
        <w:tc>
          <w:tcPr>
            <w:tcW w:w="906" w:type="dxa"/>
            <w:tcBorders>
              <w:bottom w:val="single" w:sz="2" w:space="0" w:color="231F20"/>
            </w:tcBorders>
          </w:tcPr>
          <w:p>
            <w:pPr>
              <w:pStyle w:val="TableParagraph"/>
              <w:ind w:left="261"/>
              <w:rPr>
                <w:sz w:val="20"/>
              </w:rPr>
            </w:pPr>
            <w:r>
              <w:rPr>
                <w:color w:val="231F20"/>
                <w:sz w:val="20"/>
              </w:rPr>
              <w:t>O3</w:t>
            </w:r>
          </w:p>
        </w:tc>
        <w:tc>
          <w:tcPr>
            <w:tcW w:w="1224" w:type="dxa"/>
            <w:tcBorders>
              <w:bottom w:val="single" w:sz="2" w:space="0" w:color="231F20"/>
            </w:tcBorders>
          </w:tcPr>
          <w:p>
            <w:pPr>
              <w:pStyle w:val="TableParagraph"/>
              <w:ind w:left="380" w:right="352"/>
              <w:jc w:val="center"/>
              <w:rPr>
                <w:sz w:val="20"/>
              </w:rPr>
            </w:pPr>
            <w:r>
              <w:rPr>
                <w:color w:val="231F20"/>
                <w:sz w:val="20"/>
              </w:rPr>
              <w:t>0,527</w:t>
            </w:r>
          </w:p>
        </w:tc>
        <w:tc>
          <w:tcPr>
            <w:tcW w:w="1130" w:type="dxa"/>
            <w:tcBorders>
              <w:bottom w:val="single" w:sz="2" w:space="0" w:color="231F20"/>
            </w:tcBorders>
          </w:tcPr>
          <w:p>
            <w:pPr>
              <w:pStyle w:val="TableParagraph"/>
              <w:ind w:left="354" w:right="185"/>
              <w:jc w:val="center"/>
              <w:rPr>
                <w:sz w:val="20"/>
              </w:rPr>
            </w:pPr>
            <w:r>
              <w:rPr>
                <w:color w:val="231F20"/>
                <w:sz w:val="20"/>
              </w:rPr>
              <w:t>24,654</w:t>
            </w:r>
          </w:p>
        </w:tc>
        <w:tc>
          <w:tcPr>
            <w:tcW w:w="964" w:type="dxa"/>
            <w:tcBorders>
              <w:bottom w:val="single" w:sz="2" w:space="0" w:color="231F20"/>
            </w:tcBorders>
          </w:tcPr>
          <w:p>
            <w:pPr>
              <w:pStyle w:val="TableParagraph"/>
              <w:ind w:left="313" w:right="310"/>
              <w:jc w:val="center"/>
              <w:rPr>
                <w:sz w:val="20"/>
              </w:rPr>
            </w:pPr>
            <w:r>
              <w:rPr>
                <w:color w:val="231F20"/>
                <w:sz w:val="20"/>
              </w:rPr>
              <w:t>***</w:t>
            </w:r>
          </w:p>
        </w:tc>
        <w:tc>
          <w:tcPr>
            <w:tcW w:w="575" w:type="dxa"/>
          </w:tcPr>
          <w:p>
            <w:pPr>
              <w:pStyle w:val="TableParagraph"/>
              <w:spacing w:line="116" w:lineRule="exact" w:before="0"/>
              <w:ind w:right="101"/>
              <w:jc w:val="right"/>
              <w:rPr>
                <w:sz w:val="20"/>
              </w:rPr>
            </w:pPr>
            <w:r>
              <w:rPr>
                <w:color w:val="231F20"/>
                <w:sz w:val="20"/>
              </w:rPr>
              <w:t>0,43</w:t>
            </w:r>
          </w:p>
        </w:tc>
        <w:tc>
          <w:tcPr>
            <w:tcW w:w="544" w:type="dxa"/>
          </w:tcPr>
          <w:p>
            <w:pPr>
              <w:pStyle w:val="TableParagraph"/>
              <w:spacing w:line="116" w:lineRule="exact" w:before="0"/>
              <w:ind w:right="86"/>
              <w:jc w:val="right"/>
              <w:rPr>
                <w:sz w:val="20"/>
              </w:rPr>
            </w:pPr>
            <w:r>
              <w:rPr>
                <w:color w:val="231F20"/>
                <w:sz w:val="20"/>
              </w:rPr>
              <w:t>0,74</w:t>
            </w:r>
          </w:p>
        </w:tc>
        <w:tc>
          <w:tcPr>
            <w:tcW w:w="1077" w:type="dxa"/>
            <w:tcBorders>
              <w:top w:val="single" w:sz="2" w:space="0" w:color="231F20"/>
              <w:bottom w:val="single" w:sz="2" w:space="0" w:color="231F20"/>
            </w:tcBorders>
          </w:tcPr>
          <w:p>
            <w:pPr>
              <w:pStyle w:val="TableParagraph"/>
              <w:ind w:left="345" w:right="341"/>
              <w:jc w:val="center"/>
              <w:rPr>
                <w:sz w:val="20"/>
              </w:rPr>
            </w:pPr>
            <w:r>
              <w:rPr>
                <w:color w:val="231F20"/>
                <w:sz w:val="20"/>
              </w:rPr>
              <w:t>0,78</w:t>
            </w:r>
          </w:p>
        </w:tc>
      </w:tr>
      <w:tr>
        <w:trPr>
          <w:trHeight w:val="303" w:hRule="atLeast"/>
        </w:trPr>
        <w:tc>
          <w:tcPr>
            <w:tcW w:w="1119" w:type="dxa"/>
            <w:tcBorders>
              <w:bottom w:val="single" w:sz="2" w:space="0" w:color="231F20"/>
            </w:tcBorders>
          </w:tcPr>
          <w:p>
            <w:pPr>
              <w:pStyle w:val="TableParagraph"/>
              <w:spacing w:before="0"/>
              <w:rPr>
                <w:sz w:val="18"/>
              </w:rPr>
            </w:pPr>
          </w:p>
        </w:tc>
        <w:tc>
          <w:tcPr>
            <w:tcW w:w="906" w:type="dxa"/>
            <w:tcBorders>
              <w:top w:val="single" w:sz="2" w:space="0" w:color="231F20"/>
              <w:bottom w:val="single" w:sz="2" w:space="0" w:color="231F20"/>
            </w:tcBorders>
          </w:tcPr>
          <w:p>
            <w:pPr>
              <w:pStyle w:val="TableParagraph"/>
              <w:ind w:left="261"/>
              <w:rPr>
                <w:sz w:val="20"/>
              </w:rPr>
            </w:pPr>
            <w:r>
              <w:rPr>
                <w:color w:val="231F20"/>
                <w:sz w:val="20"/>
              </w:rPr>
              <w:t>O4</w:t>
            </w:r>
          </w:p>
        </w:tc>
        <w:tc>
          <w:tcPr>
            <w:tcW w:w="1224" w:type="dxa"/>
            <w:tcBorders>
              <w:top w:val="single" w:sz="2" w:space="0" w:color="231F20"/>
              <w:bottom w:val="single" w:sz="2" w:space="0" w:color="231F20"/>
            </w:tcBorders>
          </w:tcPr>
          <w:p>
            <w:pPr>
              <w:pStyle w:val="TableParagraph"/>
              <w:ind w:left="380" w:right="351"/>
              <w:jc w:val="center"/>
              <w:rPr>
                <w:sz w:val="20"/>
              </w:rPr>
            </w:pPr>
            <w:r>
              <w:rPr>
                <w:color w:val="231F20"/>
                <w:sz w:val="20"/>
              </w:rPr>
              <w:t>0,684</w:t>
            </w:r>
          </w:p>
        </w:tc>
        <w:tc>
          <w:tcPr>
            <w:tcW w:w="1130" w:type="dxa"/>
            <w:tcBorders>
              <w:top w:val="single" w:sz="2" w:space="0" w:color="231F20"/>
              <w:bottom w:val="single" w:sz="2" w:space="0" w:color="231F20"/>
            </w:tcBorders>
          </w:tcPr>
          <w:p>
            <w:pPr>
              <w:pStyle w:val="TableParagraph"/>
              <w:ind w:left="354" w:right="184"/>
              <w:jc w:val="center"/>
              <w:rPr>
                <w:sz w:val="20"/>
              </w:rPr>
            </w:pPr>
            <w:r>
              <w:rPr>
                <w:color w:val="231F20"/>
                <w:sz w:val="20"/>
              </w:rPr>
              <w:t>32,756</w:t>
            </w:r>
          </w:p>
        </w:tc>
        <w:tc>
          <w:tcPr>
            <w:tcW w:w="964" w:type="dxa"/>
            <w:tcBorders>
              <w:top w:val="single" w:sz="2" w:space="0" w:color="231F20"/>
              <w:bottom w:val="single" w:sz="2" w:space="0" w:color="231F20"/>
            </w:tcBorders>
          </w:tcPr>
          <w:p>
            <w:pPr>
              <w:pStyle w:val="TableParagraph"/>
              <w:ind w:left="313" w:right="310"/>
              <w:jc w:val="center"/>
              <w:rPr>
                <w:sz w:val="20"/>
              </w:rPr>
            </w:pPr>
            <w:r>
              <w:rPr>
                <w:color w:val="231F20"/>
                <w:sz w:val="20"/>
              </w:rPr>
              <w:t>***</w:t>
            </w:r>
          </w:p>
        </w:tc>
        <w:tc>
          <w:tcPr>
            <w:tcW w:w="575" w:type="dxa"/>
            <w:tcBorders>
              <w:bottom w:val="single" w:sz="2" w:space="0" w:color="231F20"/>
            </w:tcBorders>
          </w:tcPr>
          <w:p>
            <w:pPr>
              <w:pStyle w:val="TableParagraph"/>
              <w:spacing w:before="0"/>
              <w:rPr>
                <w:sz w:val="18"/>
              </w:rPr>
            </w:pPr>
          </w:p>
        </w:tc>
        <w:tc>
          <w:tcPr>
            <w:tcW w:w="544" w:type="dxa"/>
            <w:tcBorders>
              <w:bottom w:val="single" w:sz="2" w:space="0" w:color="231F20"/>
            </w:tcBorders>
          </w:tcPr>
          <w:p>
            <w:pPr>
              <w:pStyle w:val="TableParagraph"/>
              <w:spacing w:before="0"/>
              <w:rPr>
                <w:sz w:val="18"/>
              </w:rPr>
            </w:pPr>
          </w:p>
        </w:tc>
        <w:tc>
          <w:tcPr>
            <w:tcW w:w="1077"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1119" w:type="dxa"/>
            <w:tcBorders>
              <w:top w:val="single" w:sz="2" w:space="0" w:color="231F20"/>
            </w:tcBorders>
          </w:tcPr>
          <w:p>
            <w:pPr>
              <w:pStyle w:val="TableParagraph"/>
              <w:spacing w:before="0"/>
              <w:rPr>
                <w:sz w:val="18"/>
              </w:rPr>
            </w:pPr>
          </w:p>
        </w:tc>
        <w:tc>
          <w:tcPr>
            <w:tcW w:w="906" w:type="dxa"/>
            <w:tcBorders>
              <w:top w:val="single" w:sz="2" w:space="0" w:color="231F20"/>
              <w:bottom w:val="single" w:sz="2" w:space="0" w:color="231F20"/>
            </w:tcBorders>
          </w:tcPr>
          <w:p>
            <w:pPr>
              <w:pStyle w:val="TableParagraph"/>
              <w:ind w:left="266"/>
              <w:rPr>
                <w:sz w:val="20"/>
              </w:rPr>
            </w:pPr>
            <w:r>
              <w:rPr>
                <w:color w:val="231F20"/>
                <w:sz w:val="20"/>
              </w:rPr>
              <w:t>B1</w:t>
            </w:r>
          </w:p>
        </w:tc>
        <w:tc>
          <w:tcPr>
            <w:tcW w:w="1224" w:type="dxa"/>
            <w:tcBorders>
              <w:top w:val="single" w:sz="2" w:space="0" w:color="231F20"/>
              <w:bottom w:val="single" w:sz="2" w:space="0" w:color="231F20"/>
            </w:tcBorders>
          </w:tcPr>
          <w:p>
            <w:pPr>
              <w:pStyle w:val="TableParagraph"/>
              <w:ind w:left="380" w:right="352"/>
              <w:jc w:val="center"/>
              <w:rPr>
                <w:sz w:val="20"/>
              </w:rPr>
            </w:pPr>
            <w:r>
              <w:rPr>
                <w:color w:val="231F20"/>
                <w:sz w:val="20"/>
              </w:rPr>
              <w:t>0,743</w:t>
            </w:r>
          </w:p>
        </w:tc>
        <w:tc>
          <w:tcPr>
            <w:tcW w:w="1130" w:type="dxa"/>
            <w:tcBorders>
              <w:top w:val="single" w:sz="2" w:space="0" w:color="231F20"/>
              <w:bottom w:val="single" w:sz="2" w:space="0" w:color="231F20"/>
            </w:tcBorders>
          </w:tcPr>
          <w:p>
            <w:pPr>
              <w:pStyle w:val="TableParagraph"/>
              <w:ind w:left="170"/>
              <w:jc w:val="center"/>
              <w:rPr>
                <w:sz w:val="20"/>
              </w:rPr>
            </w:pPr>
            <w:r>
              <w:rPr>
                <w:color w:val="231F20"/>
                <w:sz w:val="20"/>
              </w:rPr>
              <w:t>-</w:t>
            </w:r>
          </w:p>
        </w:tc>
        <w:tc>
          <w:tcPr>
            <w:tcW w:w="964" w:type="dxa"/>
            <w:tcBorders>
              <w:top w:val="single" w:sz="2" w:space="0" w:color="231F20"/>
              <w:bottom w:val="single" w:sz="2" w:space="0" w:color="231F20"/>
            </w:tcBorders>
          </w:tcPr>
          <w:p>
            <w:pPr>
              <w:pStyle w:val="TableParagraph"/>
              <w:ind w:left="3"/>
              <w:jc w:val="center"/>
              <w:rPr>
                <w:sz w:val="20"/>
              </w:rPr>
            </w:pPr>
            <w:r>
              <w:rPr>
                <w:color w:val="231F20"/>
                <w:sz w:val="20"/>
              </w:rPr>
              <w:t>-</w:t>
            </w:r>
          </w:p>
        </w:tc>
        <w:tc>
          <w:tcPr>
            <w:tcW w:w="575" w:type="dxa"/>
            <w:tcBorders>
              <w:top w:val="single" w:sz="2" w:space="0" w:color="231F20"/>
            </w:tcBorders>
          </w:tcPr>
          <w:p>
            <w:pPr>
              <w:pStyle w:val="TableParagraph"/>
              <w:spacing w:before="0"/>
              <w:rPr>
                <w:sz w:val="18"/>
              </w:rPr>
            </w:pPr>
          </w:p>
        </w:tc>
        <w:tc>
          <w:tcPr>
            <w:tcW w:w="544" w:type="dxa"/>
            <w:tcBorders>
              <w:top w:val="single" w:sz="2" w:space="0" w:color="231F20"/>
            </w:tcBorders>
          </w:tcPr>
          <w:p>
            <w:pPr>
              <w:pStyle w:val="TableParagraph"/>
              <w:spacing w:before="0"/>
              <w:rPr>
                <w:sz w:val="18"/>
              </w:rPr>
            </w:pPr>
          </w:p>
        </w:tc>
        <w:tc>
          <w:tcPr>
            <w:tcW w:w="1077" w:type="dxa"/>
            <w:tcBorders>
              <w:top w:val="single" w:sz="2" w:space="0" w:color="231F20"/>
              <w:bottom w:val="single" w:sz="2" w:space="0" w:color="231F20"/>
            </w:tcBorders>
          </w:tcPr>
          <w:p>
            <w:pPr>
              <w:pStyle w:val="TableParagraph"/>
              <w:spacing w:before="0"/>
              <w:rPr>
                <w:sz w:val="18"/>
              </w:rPr>
            </w:pPr>
          </w:p>
        </w:tc>
      </w:tr>
      <w:tr>
        <w:trPr>
          <w:trHeight w:val="303" w:hRule="atLeast"/>
        </w:trPr>
        <w:tc>
          <w:tcPr>
            <w:tcW w:w="1119" w:type="dxa"/>
          </w:tcPr>
          <w:p>
            <w:pPr>
              <w:pStyle w:val="TableParagraph"/>
              <w:ind w:left="79"/>
              <w:rPr>
                <w:sz w:val="20"/>
              </w:rPr>
            </w:pPr>
            <w:r>
              <w:rPr>
                <w:color w:val="231F20"/>
                <w:sz w:val="20"/>
              </w:rPr>
              <w:t>Belirsizlik</w:t>
            </w:r>
          </w:p>
        </w:tc>
        <w:tc>
          <w:tcPr>
            <w:tcW w:w="906" w:type="dxa"/>
            <w:tcBorders>
              <w:top w:val="single" w:sz="2" w:space="0" w:color="231F20"/>
              <w:bottom w:val="single" w:sz="2" w:space="0" w:color="231F20"/>
            </w:tcBorders>
          </w:tcPr>
          <w:p>
            <w:pPr>
              <w:pStyle w:val="TableParagraph"/>
              <w:ind w:left="266"/>
              <w:rPr>
                <w:sz w:val="20"/>
              </w:rPr>
            </w:pPr>
            <w:r>
              <w:rPr>
                <w:color w:val="231F20"/>
                <w:sz w:val="20"/>
              </w:rPr>
              <w:t>B2</w:t>
            </w:r>
          </w:p>
        </w:tc>
        <w:tc>
          <w:tcPr>
            <w:tcW w:w="1224" w:type="dxa"/>
            <w:tcBorders>
              <w:top w:val="single" w:sz="2" w:space="0" w:color="231F20"/>
              <w:bottom w:val="single" w:sz="2" w:space="0" w:color="231F20"/>
            </w:tcBorders>
          </w:tcPr>
          <w:p>
            <w:pPr>
              <w:pStyle w:val="TableParagraph"/>
              <w:ind w:left="380" w:right="352"/>
              <w:jc w:val="center"/>
              <w:rPr>
                <w:sz w:val="20"/>
              </w:rPr>
            </w:pPr>
            <w:r>
              <w:rPr>
                <w:color w:val="231F20"/>
                <w:sz w:val="20"/>
              </w:rPr>
              <w:t>0,760</w:t>
            </w:r>
          </w:p>
        </w:tc>
        <w:tc>
          <w:tcPr>
            <w:tcW w:w="1130" w:type="dxa"/>
            <w:tcBorders>
              <w:top w:val="single" w:sz="2" w:space="0" w:color="231F20"/>
              <w:bottom w:val="single" w:sz="2" w:space="0" w:color="231F20"/>
            </w:tcBorders>
          </w:tcPr>
          <w:p>
            <w:pPr>
              <w:pStyle w:val="TableParagraph"/>
              <w:ind w:left="354" w:right="185"/>
              <w:jc w:val="center"/>
              <w:rPr>
                <w:sz w:val="20"/>
              </w:rPr>
            </w:pPr>
            <w:r>
              <w:rPr>
                <w:color w:val="231F20"/>
                <w:sz w:val="20"/>
              </w:rPr>
              <w:t>45,849</w:t>
            </w:r>
          </w:p>
        </w:tc>
        <w:tc>
          <w:tcPr>
            <w:tcW w:w="964" w:type="dxa"/>
            <w:tcBorders>
              <w:top w:val="single" w:sz="2" w:space="0" w:color="231F20"/>
              <w:bottom w:val="single" w:sz="2" w:space="0" w:color="231F20"/>
            </w:tcBorders>
          </w:tcPr>
          <w:p>
            <w:pPr>
              <w:pStyle w:val="TableParagraph"/>
              <w:ind w:left="313" w:right="310"/>
              <w:jc w:val="center"/>
              <w:rPr>
                <w:sz w:val="20"/>
              </w:rPr>
            </w:pPr>
            <w:r>
              <w:rPr>
                <w:color w:val="231F20"/>
                <w:sz w:val="20"/>
              </w:rPr>
              <w:t>***</w:t>
            </w:r>
          </w:p>
        </w:tc>
        <w:tc>
          <w:tcPr>
            <w:tcW w:w="575" w:type="dxa"/>
          </w:tcPr>
          <w:p>
            <w:pPr>
              <w:pStyle w:val="TableParagraph"/>
              <w:ind w:right="101"/>
              <w:jc w:val="right"/>
              <w:rPr>
                <w:sz w:val="20"/>
              </w:rPr>
            </w:pPr>
            <w:r>
              <w:rPr>
                <w:color w:val="231F20"/>
                <w:sz w:val="20"/>
              </w:rPr>
              <w:t>0,53</w:t>
            </w:r>
          </w:p>
        </w:tc>
        <w:tc>
          <w:tcPr>
            <w:tcW w:w="544" w:type="dxa"/>
          </w:tcPr>
          <w:p>
            <w:pPr>
              <w:pStyle w:val="TableParagraph"/>
              <w:ind w:right="86"/>
              <w:jc w:val="right"/>
              <w:rPr>
                <w:sz w:val="20"/>
              </w:rPr>
            </w:pPr>
            <w:r>
              <w:rPr>
                <w:color w:val="231F20"/>
                <w:sz w:val="20"/>
              </w:rPr>
              <w:t>0,77</w:t>
            </w:r>
          </w:p>
        </w:tc>
        <w:tc>
          <w:tcPr>
            <w:tcW w:w="1077" w:type="dxa"/>
            <w:tcBorders>
              <w:top w:val="single" w:sz="2" w:space="0" w:color="231F20"/>
              <w:bottom w:val="single" w:sz="2" w:space="0" w:color="231F20"/>
            </w:tcBorders>
          </w:tcPr>
          <w:p>
            <w:pPr>
              <w:pStyle w:val="TableParagraph"/>
              <w:ind w:left="345" w:right="341"/>
              <w:jc w:val="center"/>
              <w:rPr>
                <w:sz w:val="20"/>
              </w:rPr>
            </w:pPr>
            <w:r>
              <w:rPr>
                <w:color w:val="231F20"/>
                <w:sz w:val="20"/>
              </w:rPr>
              <w:t>0,80</w:t>
            </w:r>
          </w:p>
        </w:tc>
      </w:tr>
      <w:tr>
        <w:trPr>
          <w:trHeight w:val="301" w:hRule="atLeast"/>
        </w:trPr>
        <w:tc>
          <w:tcPr>
            <w:tcW w:w="1119" w:type="dxa"/>
            <w:tcBorders>
              <w:bottom w:val="single" w:sz="4" w:space="0" w:color="231F20"/>
            </w:tcBorders>
          </w:tcPr>
          <w:p>
            <w:pPr>
              <w:pStyle w:val="TableParagraph"/>
              <w:spacing w:before="0"/>
              <w:rPr>
                <w:sz w:val="18"/>
              </w:rPr>
            </w:pPr>
          </w:p>
        </w:tc>
        <w:tc>
          <w:tcPr>
            <w:tcW w:w="906" w:type="dxa"/>
            <w:tcBorders>
              <w:top w:val="single" w:sz="2" w:space="0" w:color="231F20"/>
              <w:bottom w:val="single" w:sz="4" w:space="0" w:color="231F20"/>
            </w:tcBorders>
          </w:tcPr>
          <w:p>
            <w:pPr>
              <w:pStyle w:val="TableParagraph"/>
              <w:ind w:left="266"/>
              <w:rPr>
                <w:sz w:val="20"/>
              </w:rPr>
            </w:pPr>
            <w:r>
              <w:rPr>
                <w:color w:val="231F20"/>
                <w:sz w:val="20"/>
              </w:rPr>
              <w:t>B4</w:t>
            </w:r>
          </w:p>
        </w:tc>
        <w:tc>
          <w:tcPr>
            <w:tcW w:w="1224" w:type="dxa"/>
            <w:tcBorders>
              <w:top w:val="single" w:sz="2" w:space="0" w:color="231F20"/>
              <w:bottom w:val="single" w:sz="4" w:space="0" w:color="231F20"/>
            </w:tcBorders>
          </w:tcPr>
          <w:p>
            <w:pPr>
              <w:pStyle w:val="TableParagraph"/>
              <w:ind w:left="380" w:right="352"/>
              <w:jc w:val="center"/>
              <w:rPr>
                <w:sz w:val="20"/>
              </w:rPr>
            </w:pPr>
            <w:r>
              <w:rPr>
                <w:color w:val="231F20"/>
                <w:sz w:val="20"/>
              </w:rPr>
              <w:t>0,687</w:t>
            </w:r>
          </w:p>
        </w:tc>
        <w:tc>
          <w:tcPr>
            <w:tcW w:w="1130" w:type="dxa"/>
            <w:tcBorders>
              <w:top w:val="single" w:sz="2" w:space="0" w:color="231F20"/>
              <w:bottom w:val="single" w:sz="4" w:space="0" w:color="231F20"/>
            </w:tcBorders>
          </w:tcPr>
          <w:p>
            <w:pPr>
              <w:pStyle w:val="TableParagraph"/>
              <w:ind w:left="354" w:right="185"/>
              <w:jc w:val="center"/>
              <w:rPr>
                <w:sz w:val="20"/>
              </w:rPr>
            </w:pPr>
            <w:r>
              <w:rPr>
                <w:color w:val="231F20"/>
                <w:sz w:val="20"/>
              </w:rPr>
              <w:t>41,235</w:t>
            </w:r>
          </w:p>
        </w:tc>
        <w:tc>
          <w:tcPr>
            <w:tcW w:w="964" w:type="dxa"/>
            <w:tcBorders>
              <w:top w:val="single" w:sz="2" w:space="0" w:color="231F20"/>
              <w:bottom w:val="single" w:sz="4" w:space="0" w:color="231F20"/>
            </w:tcBorders>
          </w:tcPr>
          <w:p>
            <w:pPr>
              <w:pStyle w:val="TableParagraph"/>
              <w:ind w:left="313" w:right="310"/>
              <w:jc w:val="center"/>
              <w:rPr>
                <w:sz w:val="20"/>
              </w:rPr>
            </w:pPr>
            <w:r>
              <w:rPr>
                <w:color w:val="231F20"/>
                <w:sz w:val="20"/>
              </w:rPr>
              <w:t>***</w:t>
            </w:r>
          </w:p>
        </w:tc>
        <w:tc>
          <w:tcPr>
            <w:tcW w:w="575" w:type="dxa"/>
            <w:tcBorders>
              <w:bottom w:val="single" w:sz="4" w:space="0" w:color="231F20"/>
            </w:tcBorders>
          </w:tcPr>
          <w:p>
            <w:pPr>
              <w:pStyle w:val="TableParagraph"/>
              <w:spacing w:before="0"/>
              <w:rPr>
                <w:sz w:val="18"/>
              </w:rPr>
            </w:pPr>
          </w:p>
        </w:tc>
        <w:tc>
          <w:tcPr>
            <w:tcW w:w="544" w:type="dxa"/>
            <w:tcBorders>
              <w:bottom w:val="single" w:sz="4" w:space="0" w:color="231F20"/>
            </w:tcBorders>
          </w:tcPr>
          <w:p>
            <w:pPr>
              <w:pStyle w:val="TableParagraph"/>
              <w:spacing w:before="0"/>
              <w:rPr>
                <w:sz w:val="18"/>
              </w:rPr>
            </w:pPr>
          </w:p>
        </w:tc>
        <w:tc>
          <w:tcPr>
            <w:tcW w:w="1077" w:type="dxa"/>
            <w:tcBorders>
              <w:top w:val="single" w:sz="2" w:space="0" w:color="231F20"/>
              <w:bottom w:val="single" w:sz="4" w:space="0" w:color="231F20"/>
            </w:tcBorders>
          </w:tcPr>
          <w:p>
            <w:pPr>
              <w:pStyle w:val="TableParagraph"/>
              <w:spacing w:before="0"/>
              <w:rPr>
                <w:sz w:val="18"/>
              </w:rPr>
            </w:pPr>
          </w:p>
        </w:tc>
      </w:tr>
    </w:tbl>
    <w:p>
      <w:pPr>
        <w:pStyle w:val="BodyText"/>
        <w:spacing w:before="10"/>
        <w:rPr>
          <w:b/>
          <w:sz w:val="21"/>
        </w:rPr>
      </w:pPr>
    </w:p>
    <w:p>
      <w:pPr>
        <w:pStyle w:val="ListParagraph"/>
        <w:numPr>
          <w:ilvl w:val="0"/>
          <w:numId w:val="1"/>
        </w:numPr>
        <w:tabs>
          <w:tab w:pos="453" w:val="left" w:leader="none"/>
        </w:tabs>
        <w:spacing w:line="240" w:lineRule="auto" w:before="0" w:after="0"/>
        <w:ind w:left="452" w:right="0" w:hanging="201"/>
        <w:jc w:val="left"/>
        <w:rPr>
          <w:b/>
          <w:sz w:val="20"/>
        </w:rPr>
      </w:pPr>
      <w:r>
        <w:rPr>
          <w:b/>
          <w:color w:val="034694"/>
          <w:sz w:val="20"/>
        </w:rPr>
        <w:t>Bulgular</w:t>
      </w:r>
    </w:p>
    <w:p>
      <w:pPr>
        <w:pStyle w:val="BodyText"/>
        <w:spacing w:line="249" w:lineRule="auto" w:before="123"/>
        <w:ind w:left="252" w:right="249" w:firstLine="567"/>
        <w:jc w:val="both"/>
      </w:pPr>
      <w:r>
        <w:rPr>
          <w:color w:val="231F20"/>
        </w:rPr>
        <w:t>3805</w:t>
      </w:r>
      <w:r>
        <w:rPr>
          <w:color w:val="231F20"/>
          <w:spacing w:val="-7"/>
        </w:rPr>
        <w:t> </w:t>
      </w:r>
      <w:r>
        <w:rPr>
          <w:color w:val="231F20"/>
        </w:rPr>
        <w:t>katılımcıdan</w:t>
      </w:r>
      <w:r>
        <w:rPr>
          <w:color w:val="231F20"/>
          <w:spacing w:val="-7"/>
        </w:rPr>
        <w:t> </w:t>
      </w:r>
      <w:r>
        <w:rPr>
          <w:color w:val="231F20"/>
        </w:rPr>
        <w:t>oluşan</w:t>
      </w:r>
      <w:r>
        <w:rPr>
          <w:color w:val="231F20"/>
          <w:spacing w:val="-7"/>
        </w:rPr>
        <w:t> </w:t>
      </w:r>
      <w:r>
        <w:rPr>
          <w:color w:val="231F20"/>
        </w:rPr>
        <w:t>örneklemin</w:t>
      </w:r>
      <w:r>
        <w:rPr>
          <w:color w:val="231F20"/>
          <w:spacing w:val="-6"/>
        </w:rPr>
        <w:t> </w:t>
      </w:r>
      <w:r>
        <w:rPr>
          <w:color w:val="231F20"/>
        </w:rPr>
        <w:t>çoğunluğuna</w:t>
      </w:r>
      <w:r>
        <w:rPr>
          <w:color w:val="231F20"/>
          <w:spacing w:val="-7"/>
        </w:rPr>
        <w:t> </w:t>
      </w:r>
      <w:r>
        <w:rPr>
          <w:color w:val="231F20"/>
        </w:rPr>
        <w:t>bakıldığında;</w:t>
      </w:r>
      <w:r>
        <w:rPr>
          <w:color w:val="231F20"/>
          <w:spacing w:val="-7"/>
        </w:rPr>
        <w:t> </w:t>
      </w:r>
      <w:r>
        <w:rPr>
          <w:color w:val="231F20"/>
        </w:rPr>
        <w:t>50,6%</w:t>
      </w:r>
      <w:r>
        <w:rPr>
          <w:color w:val="231F20"/>
          <w:spacing w:val="-7"/>
        </w:rPr>
        <w:t> </w:t>
      </w:r>
      <w:r>
        <w:rPr>
          <w:color w:val="231F20"/>
        </w:rPr>
        <w:t>si</w:t>
      </w:r>
      <w:r>
        <w:rPr>
          <w:color w:val="231F20"/>
          <w:spacing w:val="-6"/>
        </w:rPr>
        <w:t> </w:t>
      </w:r>
      <w:r>
        <w:rPr>
          <w:color w:val="231F20"/>
        </w:rPr>
        <w:t>erkek,</w:t>
      </w:r>
      <w:r>
        <w:rPr>
          <w:color w:val="231F20"/>
          <w:spacing w:val="-7"/>
        </w:rPr>
        <w:t> </w:t>
      </w:r>
      <w:r>
        <w:rPr>
          <w:color w:val="231F20"/>
          <w:spacing w:val="-3"/>
        </w:rPr>
        <w:t>52,5% </w:t>
      </w:r>
      <w:r>
        <w:rPr>
          <w:color w:val="231F20"/>
        </w:rPr>
        <w:t>si bekar, 39,4% si lisans eğitimini tamamlamış, 63,8% si 1980-1999 yılları arasında doğumlu Y kuşağı üyesi, 39,5% si 1-5 yıl arasında kıdemli, 32,7% si diğer hizmet faaliyetleri (mimari, mühendislik, danışmanlık vd. iş hizmetleri) gösteren işletmelerde çalışandır.</w:t>
      </w:r>
    </w:p>
    <w:p>
      <w:pPr>
        <w:pStyle w:val="BodyText"/>
        <w:spacing w:line="249" w:lineRule="auto" w:before="117"/>
        <w:ind w:left="252" w:right="249" w:firstLine="567"/>
        <w:jc w:val="both"/>
      </w:pPr>
      <w:r>
        <w:rPr>
          <w:color w:val="231F20"/>
        </w:rPr>
        <w:t>Katılımcıların VUCA algısına ilişkin ortalamaları incelendiğinde; en yüksek ortalama- ya oynaklık (değişkenlik) bileşeninin sahip olduğu görülmektedir. Bu bulgu oynaklık (değiş- kenlik) algısının en fazla olduğunu göstermektedir (Şekil 7).</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Heading1"/>
        <w:spacing w:before="1"/>
      </w:pPr>
      <w:r>
        <w:rPr/>
        <w:pict>
          <v:group style="position:absolute;margin-left:49.6063pt;margin-top:16.219936pt;width:377.05pt;height:140.5pt;mso-position-horizontal-relative:page;mso-position-vertical-relative:paragraph;z-index:-15707136;mso-wrap-distance-left:0;mso-wrap-distance-right:0" coordorigin="992,324" coordsize="7541,2810">
            <v:line style="position:absolute" from="992,329" to="8532,329" stroked="true" strokeweight=".5pt" strokecolor="#231f20">
              <v:stroke dashstyle="solid"/>
            </v:line>
            <v:line style="position:absolute" from="997,3124" to="997,334" stroked="true" strokeweight=".5pt" strokecolor="#231f20">
              <v:stroke dashstyle="solid"/>
            </v:line>
            <v:line style="position:absolute" from="8527,3124" to="8527,334" stroked="true" strokeweight=".5pt" strokecolor="#231f20">
              <v:stroke dashstyle="solid"/>
            </v:line>
            <v:line style="position:absolute" from="992,3129" to="8532,3129" stroked="true" strokeweight=".5pt" strokecolor="#231f20">
              <v:stroke dashstyle="solid"/>
            </v:line>
            <v:shape style="position:absolute;left:2074;top:408;width:5096;height:2669" type="#_x0000_t75" stroked="false">
              <v:imagedata r:id="rId21" o:title=""/>
            </v:shape>
            <w10:wrap type="topAndBottom"/>
          </v:group>
        </w:pict>
      </w:r>
      <w:r>
        <w:rPr>
          <w:color w:val="231F20"/>
        </w:rPr>
        <w:t>Şekil 6: VUCA Algısına İlişkin Ortalamalar</w:t>
      </w:r>
    </w:p>
    <w:p>
      <w:pPr>
        <w:pStyle w:val="BodyText"/>
        <w:spacing w:before="4"/>
        <w:rPr>
          <w:b/>
          <w:sz w:val="9"/>
        </w:rPr>
      </w:pPr>
    </w:p>
    <w:p>
      <w:pPr>
        <w:pStyle w:val="BodyText"/>
        <w:spacing w:line="249" w:lineRule="auto" w:before="63"/>
        <w:ind w:left="252" w:right="250" w:firstLine="567"/>
        <w:jc w:val="both"/>
      </w:pPr>
      <w:r>
        <w:rPr>
          <w:color w:val="231F20"/>
        </w:rPr>
        <w:t>Çevik liderlik becerisi algısına ortalamalara bakıldığında; genel ortalamanın 3,96 oldu- ğu gözlemlenmiştir. Bu ortalama çevik liderlik becerisi algısının yüksek düzeyde olduğunu göstermektedir. En yüksek ortalamaya Planlamada Çevik Liderlik Becerisi Algısı alt bileşeni- nin sahip olduğu görülmektedir.</w:t>
      </w:r>
    </w:p>
    <w:p>
      <w:pPr>
        <w:pStyle w:val="BodyText"/>
      </w:pPr>
    </w:p>
    <w:p>
      <w:pPr>
        <w:pStyle w:val="Heading1"/>
      </w:pPr>
      <w:r>
        <w:rPr/>
        <w:pict>
          <v:group style="position:absolute;margin-left:49.6063pt;margin-top:16.16893pt;width:377.05pt;height:128.1pt;mso-position-horizontal-relative:page;mso-position-vertical-relative:paragraph;z-index:-15706624;mso-wrap-distance-left:0;mso-wrap-distance-right:0" coordorigin="992,323" coordsize="7541,2562">
            <v:line style="position:absolute" from="992,328" to="8532,328" stroked="true" strokeweight=".5pt" strokecolor="#231f20">
              <v:stroke dashstyle="solid"/>
            </v:line>
            <v:line style="position:absolute" from="997,2875" to="997,333" stroked="true" strokeweight=".5pt" strokecolor="#231f20">
              <v:stroke dashstyle="solid"/>
            </v:line>
            <v:line style="position:absolute" from="8527,2875" to="8527,333" stroked="true" strokeweight=".5pt" strokecolor="#231f20">
              <v:stroke dashstyle="solid"/>
            </v:line>
            <v:line style="position:absolute" from="992,2880" to="8532,2880" stroked="true" strokeweight=".5pt" strokecolor="#231f20">
              <v:stroke dashstyle="solid"/>
            </v:line>
            <v:shape style="position:absolute;left:2148;top:407;width:5093;height:2420" type="#_x0000_t75" stroked="false">
              <v:imagedata r:id="rId22" o:title=""/>
            </v:shape>
            <w10:wrap type="topAndBottom"/>
          </v:group>
        </w:pict>
      </w:r>
      <w:r>
        <w:rPr>
          <w:color w:val="231F20"/>
        </w:rPr>
        <w:t>Şekil 7: Çevik Liderlik Becerisi Algısına İlişkin Ortalamalar</w:t>
      </w:r>
    </w:p>
    <w:p>
      <w:pPr>
        <w:pStyle w:val="BodyText"/>
        <w:spacing w:before="4"/>
        <w:rPr>
          <w:b/>
          <w:sz w:val="9"/>
        </w:rPr>
      </w:pPr>
    </w:p>
    <w:p>
      <w:pPr>
        <w:pStyle w:val="BodyText"/>
        <w:spacing w:line="249" w:lineRule="auto" w:before="63"/>
        <w:ind w:left="252" w:right="248" w:firstLine="567"/>
        <w:jc w:val="both"/>
      </w:pPr>
      <w:r>
        <w:rPr>
          <w:color w:val="231F20"/>
        </w:rPr>
        <w:t>VUCA algısının çevik liderlik becerisi algısı üzerinde etkisinin olup olmadığının test edilmesi amacıyla gizil değişkenlerle yol analizi uygulanmıştır. Analiz sonucunda, oynaklık (değişkenlik) algısının çevik liderlik becerisi algısı üzerinde istatistiksel olarak anlamlı ve pozitif yönde etkisi olduğu (β=0,375, p&lt;,001), buna karşın karmaşıklık algısının çevik liderlik becerisi algısı üzerinde istatistiksel olarak anlamlı etkisi olmadığı (p&gt;,05) ve belirsizlik algı- sının çevik liderlik becerisi algısı üzerinde istatistiksel olarak anlamlı etkisi olmadığı (p&gt;,05) tespit edilmiş olup, açıkladığı varyans (R</w:t>
      </w:r>
      <w:r>
        <w:rPr>
          <w:color w:val="231F20"/>
          <w:vertAlign w:val="superscript"/>
        </w:rPr>
        <w:t>2</w:t>
      </w:r>
      <w:r>
        <w:rPr>
          <w:color w:val="231F20"/>
          <w:vertAlign w:val="baseline"/>
        </w:rPr>
        <w:t>) 0,107 olarak hesaplanmıştır. Bu bulgulardan hare- ketle, H1a hipotezi kabul edilmiş, H1b ve H1c hipotezleri reddedilmiştir.</w:t>
      </w:r>
    </w:p>
    <w:p>
      <w:pPr>
        <w:pStyle w:val="BodyText"/>
        <w:spacing w:line="249" w:lineRule="auto" w:before="120"/>
        <w:ind w:left="252" w:right="248" w:firstLine="567"/>
        <w:jc w:val="both"/>
      </w:pPr>
      <w:r>
        <w:rPr>
          <w:color w:val="231F20"/>
        </w:rPr>
        <w:t>Elde edilen uyum indekslerine bakıldığında, yapısal modelin genel uyumunu gösteren χ2/df değeri, artık temelli uyum indeksi (SRMR) ve karşılaştırmalı uyum indekslerinden CFI ve NFI değerlerinin mükemmel uyum; RMSEA değeri ve mutlak uyum indekslerinin (GFI, AGFI) kabul edilebilir düzeyde olması gizil değişkenli yapısal modelin geçerli olduğunu ve doğrulandığını göstermektedir.</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Heading1"/>
        <w:spacing w:before="1"/>
      </w:pPr>
      <w:r>
        <w:rPr/>
        <w:pict>
          <v:shape style="position:absolute;margin-left:49.6063pt;margin-top:16.469936pt;width:377.05pt;height:110.65pt;mso-position-horizontal-relative:page;mso-position-vertical-relative:paragraph;z-index:1575219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3"/>
                    <w:gridCol w:w="883"/>
                    <w:gridCol w:w="843"/>
                    <w:gridCol w:w="691"/>
                    <w:gridCol w:w="1097"/>
                  </w:tblGrid>
                  <w:tr>
                    <w:trPr>
                      <w:trHeight w:val="274" w:hRule="atLeast"/>
                    </w:trPr>
                    <w:tc>
                      <w:tcPr>
                        <w:tcW w:w="4023" w:type="dxa"/>
                        <w:tcBorders>
                          <w:top w:val="single" w:sz="4" w:space="0" w:color="231F20"/>
                        </w:tcBorders>
                      </w:tcPr>
                      <w:p>
                        <w:pPr>
                          <w:pStyle w:val="TableParagraph"/>
                          <w:tabs>
                            <w:tab w:pos="2884" w:val="left" w:leader="none"/>
                          </w:tabs>
                          <w:spacing w:line="43" w:lineRule="auto" w:before="92"/>
                          <w:ind w:left="79"/>
                          <w:rPr>
                            <w:b/>
                            <w:sz w:val="20"/>
                          </w:rPr>
                        </w:pPr>
                        <w:r>
                          <w:rPr>
                            <w:b/>
                            <w:color w:val="231F20"/>
                            <w:position w:val="-11"/>
                            <w:sz w:val="20"/>
                          </w:rPr>
                          <w:t>Etki</w:t>
                          <w:tab/>
                        </w:r>
                        <w:r>
                          <w:rPr>
                            <w:b/>
                            <w:color w:val="231F20"/>
                            <w:sz w:val="20"/>
                          </w:rPr>
                          <w:t>Standardize</w:t>
                        </w:r>
                      </w:p>
                    </w:tc>
                    <w:tc>
                      <w:tcPr>
                        <w:tcW w:w="3514" w:type="dxa"/>
                        <w:gridSpan w:val="4"/>
                        <w:tcBorders>
                          <w:top w:val="single" w:sz="4" w:space="0" w:color="231F20"/>
                        </w:tcBorders>
                      </w:tcPr>
                      <w:p>
                        <w:pPr>
                          <w:pStyle w:val="TableParagraph"/>
                          <w:tabs>
                            <w:tab w:pos="1301" w:val="left" w:leader="none"/>
                            <w:tab w:pos="2015" w:val="left" w:leader="none"/>
                            <w:tab w:pos="2530" w:val="left" w:leader="none"/>
                          </w:tabs>
                          <w:spacing w:line="217" w:lineRule="exact" w:before="37"/>
                          <w:ind w:left="106"/>
                          <w:rPr>
                            <w:b/>
                            <w:sz w:val="20"/>
                          </w:rPr>
                        </w:pPr>
                        <w:r>
                          <w:rPr>
                            <w:b/>
                            <w:color w:val="231F20"/>
                            <w:position w:val="12"/>
                            <w:sz w:val="20"/>
                          </w:rPr>
                          <w:t>Standart</w:t>
                          <w:tab/>
                        </w:r>
                        <w:r>
                          <w:rPr>
                            <w:b/>
                            <w:color w:val="231F20"/>
                            <w:sz w:val="20"/>
                          </w:rPr>
                          <w:t>t</w:t>
                          <w:tab/>
                          <w:t>P</w:t>
                          <w:tab/>
                          <w:t>Hipotezler</w:t>
                        </w:r>
                      </w:p>
                    </w:tc>
                  </w:tr>
                  <w:tr>
                    <w:trPr>
                      <w:trHeight w:val="264" w:hRule="atLeast"/>
                    </w:trPr>
                    <w:tc>
                      <w:tcPr>
                        <w:tcW w:w="4023" w:type="dxa"/>
                        <w:tcBorders>
                          <w:bottom w:val="single" w:sz="4" w:space="0" w:color="231F20"/>
                        </w:tcBorders>
                      </w:tcPr>
                      <w:p>
                        <w:pPr>
                          <w:pStyle w:val="TableParagraph"/>
                          <w:spacing w:before="3"/>
                          <w:ind w:right="563"/>
                          <w:jc w:val="right"/>
                          <w:rPr>
                            <w:b/>
                            <w:sz w:val="20"/>
                          </w:rPr>
                        </w:pPr>
                        <w:r>
                          <w:rPr>
                            <w:b/>
                            <w:color w:val="231F20"/>
                            <w:w w:val="105"/>
                            <w:sz w:val="20"/>
                          </w:rPr>
                          <w:t>β</w:t>
                        </w:r>
                      </w:p>
                    </w:tc>
                    <w:tc>
                      <w:tcPr>
                        <w:tcW w:w="883" w:type="dxa"/>
                        <w:tcBorders>
                          <w:bottom w:val="single" w:sz="4" w:space="0" w:color="231F20"/>
                        </w:tcBorders>
                      </w:tcPr>
                      <w:p>
                        <w:pPr>
                          <w:pStyle w:val="TableParagraph"/>
                          <w:spacing w:before="3"/>
                          <w:ind w:left="238" w:right="153"/>
                          <w:jc w:val="center"/>
                          <w:rPr>
                            <w:b/>
                            <w:sz w:val="20"/>
                          </w:rPr>
                        </w:pPr>
                        <w:r>
                          <w:rPr>
                            <w:b/>
                            <w:color w:val="231F20"/>
                            <w:sz w:val="20"/>
                          </w:rPr>
                          <w:t>Hata</w:t>
                        </w:r>
                      </w:p>
                    </w:tc>
                    <w:tc>
                      <w:tcPr>
                        <w:tcW w:w="843" w:type="dxa"/>
                        <w:tcBorders>
                          <w:bottom w:val="single" w:sz="4" w:space="0" w:color="231F20"/>
                        </w:tcBorders>
                      </w:tcPr>
                      <w:p>
                        <w:pPr>
                          <w:pStyle w:val="TableParagraph"/>
                          <w:spacing w:before="0"/>
                          <w:rPr>
                            <w:sz w:val="18"/>
                          </w:rPr>
                        </w:pPr>
                      </w:p>
                    </w:tc>
                    <w:tc>
                      <w:tcPr>
                        <w:tcW w:w="691" w:type="dxa"/>
                        <w:tcBorders>
                          <w:bottom w:val="single" w:sz="4" w:space="0" w:color="231F20"/>
                        </w:tcBorders>
                      </w:tcPr>
                      <w:p>
                        <w:pPr>
                          <w:pStyle w:val="TableParagraph"/>
                          <w:spacing w:before="0"/>
                          <w:rPr>
                            <w:sz w:val="18"/>
                          </w:rPr>
                        </w:pPr>
                      </w:p>
                    </w:tc>
                    <w:tc>
                      <w:tcPr>
                        <w:tcW w:w="1097" w:type="dxa"/>
                        <w:tcBorders>
                          <w:bottom w:val="single" w:sz="4" w:space="0" w:color="231F20"/>
                        </w:tcBorders>
                      </w:tcPr>
                      <w:p>
                        <w:pPr>
                          <w:pStyle w:val="TableParagraph"/>
                          <w:spacing w:before="0"/>
                          <w:rPr>
                            <w:sz w:val="18"/>
                          </w:rPr>
                        </w:pPr>
                      </w:p>
                    </w:tc>
                  </w:tr>
                  <w:tr>
                    <w:trPr>
                      <w:trHeight w:val="545" w:hRule="atLeast"/>
                    </w:trPr>
                    <w:tc>
                      <w:tcPr>
                        <w:tcW w:w="4023" w:type="dxa"/>
                        <w:tcBorders>
                          <w:top w:val="single" w:sz="4" w:space="0" w:color="231F20"/>
                          <w:bottom w:val="single" w:sz="2" w:space="0" w:color="231F20"/>
                        </w:tcBorders>
                      </w:tcPr>
                      <w:p>
                        <w:pPr>
                          <w:pStyle w:val="TableParagraph"/>
                          <w:tabs>
                            <w:tab w:pos="3176" w:val="left" w:leader="none"/>
                          </w:tabs>
                          <w:spacing w:before="42"/>
                          <w:ind w:left="79"/>
                          <w:rPr>
                            <w:sz w:val="20"/>
                          </w:rPr>
                        </w:pPr>
                        <w:r>
                          <w:rPr>
                            <w:color w:val="231F20"/>
                            <w:sz w:val="20"/>
                          </w:rPr>
                          <w:t>Oynaklık</w:t>
                        </w:r>
                        <w:r>
                          <w:rPr>
                            <w:color w:val="231F20"/>
                            <w:spacing w:val="-3"/>
                            <w:sz w:val="20"/>
                          </w:rPr>
                          <w:t> </w:t>
                        </w:r>
                        <w:r>
                          <w:rPr>
                            <w:color w:val="231F20"/>
                            <w:sz w:val="20"/>
                          </w:rPr>
                          <w:t>algısı</w:t>
                        </w:r>
                        <w:r>
                          <w:rPr>
                            <w:rFonts w:ascii="Wingdings" w:hAnsi="Wingdings"/>
                            <w:color w:val="231F20"/>
                            <w:sz w:val="20"/>
                          </w:rPr>
                          <w:t></w:t>
                        </w:r>
                        <w:r>
                          <w:rPr>
                            <w:color w:val="231F20"/>
                            <w:spacing w:val="-2"/>
                            <w:sz w:val="20"/>
                          </w:rPr>
                          <w:t> </w:t>
                        </w:r>
                        <w:r>
                          <w:rPr>
                            <w:color w:val="231F20"/>
                            <w:sz w:val="20"/>
                          </w:rPr>
                          <w:t>Çevik</w:t>
                          <w:tab/>
                        </w:r>
                        <w:r>
                          <w:rPr>
                            <w:color w:val="231F20"/>
                            <w:position w:val="-11"/>
                            <w:sz w:val="20"/>
                          </w:rPr>
                          <w:t>0,375</w:t>
                        </w:r>
                      </w:p>
                    </w:tc>
                    <w:tc>
                      <w:tcPr>
                        <w:tcW w:w="883" w:type="dxa"/>
                        <w:tcBorders>
                          <w:top w:val="single" w:sz="4" w:space="0" w:color="231F20"/>
                          <w:bottom w:val="single" w:sz="2" w:space="0" w:color="231F20"/>
                        </w:tcBorders>
                      </w:tcPr>
                      <w:p>
                        <w:pPr>
                          <w:pStyle w:val="TableParagraph"/>
                          <w:spacing w:before="160"/>
                          <w:ind w:left="238" w:right="154"/>
                          <w:jc w:val="center"/>
                          <w:rPr>
                            <w:sz w:val="20"/>
                          </w:rPr>
                        </w:pPr>
                        <w:r>
                          <w:rPr>
                            <w:color w:val="231F20"/>
                            <w:sz w:val="20"/>
                          </w:rPr>
                          <w:t>0,042</w:t>
                        </w:r>
                      </w:p>
                    </w:tc>
                    <w:tc>
                      <w:tcPr>
                        <w:tcW w:w="843" w:type="dxa"/>
                        <w:tcBorders>
                          <w:top w:val="single" w:sz="4" w:space="0" w:color="231F20"/>
                          <w:bottom w:val="single" w:sz="2" w:space="0" w:color="231F20"/>
                        </w:tcBorders>
                      </w:tcPr>
                      <w:p>
                        <w:pPr>
                          <w:pStyle w:val="TableParagraph"/>
                          <w:spacing w:before="160"/>
                          <w:ind w:left="156" w:right="97"/>
                          <w:jc w:val="center"/>
                          <w:rPr>
                            <w:sz w:val="20"/>
                          </w:rPr>
                        </w:pPr>
                        <w:r>
                          <w:rPr>
                            <w:color w:val="231F20"/>
                            <w:sz w:val="20"/>
                          </w:rPr>
                          <w:t>14,727</w:t>
                        </w:r>
                      </w:p>
                    </w:tc>
                    <w:tc>
                      <w:tcPr>
                        <w:tcW w:w="691" w:type="dxa"/>
                        <w:tcBorders>
                          <w:top w:val="single" w:sz="4" w:space="0" w:color="231F20"/>
                          <w:bottom w:val="single" w:sz="2" w:space="0" w:color="231F20"/>
                        </w:tcBorders>
                      </w:tcPr>
                      <w:p>
                        <w:pPr>
                          <w:pStyle w:val="TableParagraph"/>
                          <w:spacing w:before="160"/>
                          <w:ind w:left="100" w:right="100"/>
                          <w:jc w:val="center"/>
                          <w:rPr>
                            <w:sz w:val="20"/>
                          </w:rPr>
                        </w:pPr>
                        <w:r>
                          <w:rPr>
                            <w:color w:val="231F20"/>
                            <w:sz w:val="20"/>
                          </w:rPr>
                          <w:t>***</w:t>
                        </w:r>
                      </w:p>
                    </w:tc>
                    <w:tc>
                      <w:tcPr>
                        <w:tcW w:w="1097" w:type="dxa"/>
                        <w:tcBorders>
                          <w:top w:val="single" w:sz="4" w:space="0" w:color="231F20"/>
                          <w:bottom w:val="single" w:sz="2" w:space="0" w:color="231F20"/>
                        </w:tcBorders>
                      </w:tcPr>
                      <w:p>
                        <w:pPr>
                          <w:pStyle w:val="TableParagraph"/>
                          <w:spacing w:before="160"/>
                          <w:ind w:left="105" w:right="80"/>
                          <w:jc w:val="center"/>
                          <w:rPr>
                            <w:sz w:val="20"/>
                          </w:rPr>
                        </w:pPr>
                        <w:r>
                          <w:rPr>
                            <w:color w:val="231F20"/>
                            <w:sz w:val="20"/>
                          </w:rPr>
                          <w:t>H1a Kabul</w:t>
                        </w:r>
                      </w:p>
                    </w:tc>
                  </w:tr>
                  <w:tr>
                    <w:trPr>
                      <w:trHeight w:val="547" w:hRule="atLeast"/>
                    </w:trPr>
                    <w:tc>
                      <w:tcPr>
                        <w:tcW w:w="4023" w:type="dxa"/>
                        <w:tcBorders>
                          <w:top w:val="single" w:sz="2" w:space="0" w:color="231F20"/>
                          <w:bottom w:val="single" w:sz="2" w:space="0" w:color="231F20"/>
                        </w:tcBorders>
                      </w:tcPr>
                      <w:p>
                        <w:pPr>
                          <w:pStyle w:val="TableParagraph"/>
                          <w:tabs>
                            <w:tab w:pos="3143" w:val="left" w:leader="none"/>
                          </w:tabs>
                          <w:spacing w:before="44"/>
                          <w:ind w:left="79"/>
                          <w:rPr>
                            <w:sz w:val="20"/>
                          </w:rPr>
                        </w:pPr>
                        <w:r>
                          <w:rPr>
                            <w:color w:val="231F20"/>
                            <w:sz w:val="20"/>
                          </w:rPr>
                          <w:t>Karmaşıklık</w:t>
                        </w:r>
                        <w:r>
                          <w:rPr>
                            <w:color w:val="231F20"/>
                            <w:spacing w:val="-3"/>
                            <w:sz w:val="20"/>
                          </w:rPr>
                          <w:t> </w:t>
                        </w:r>
                        <w:r>
                          <w:rPr>
                            <w:color w:val="231F20"/>
                            <w:sz w:val="20"/>
                          </w:rPr>
                          <w:t>algısı</w:t>
                        </w:r>
                        <w:r>
                          <w:rPr>
                            <w:rFonts w:ascii="Wingdings" w:hAnsi="Wingdings"/>
                            <w:color w:val="231F20"/>
                            <w:sz w:val="20"/>
                          </w:rPr>
                          <w:t></w:t>
                        </w:r>
                        <w:r>
                          <w:rPr>
                            <w:color w:val="231F20"/>
                            <w:spacing w:val="-3"/>
                            <w:sz w:val="20"/>
                          </w:rPr>
                          <w:t> </w:t>
                        </w:r>
                        <w:r>
                          <w:rPr>
                            <w:color w:val="231F20"/>
                            <w:sz w:val="20"/>
                          </w:rPr>
                          <w:t>Çevik</w:t>
                          <w:tab/>
                        </w:r>
                        <w:r>
                          <w:rPr>
                            <w:color w:val="231F20"/>
                            <w:position w:val="-11"/>
                            <w:sz w:val="20"/>
                          </w:rPr>
                          <w:t>-0,156</w:t>
                        </w:r>
                      </w:p>
                    </w:tc>
                    <w:tc>
                      <w:tcPr>
                        <w:tcW w:w="883" w:type="dxa"/>
                        <w:tcBorders>
                          <w:top w:val="single" w:sz="2" w:space="0" w:color="231F20"/>
                          <w:bottom w:val="single" w:sz="2" w:space="0" w:color="231F20"/>
                        </w:tcBorders>
                      </w:tcPr>
                      <w:p>
                        <w:pPr>
                          <w:pStyle w:val="TableParagraph"/>
                          <w:spacing w:before="162"/>
                          <w:ind w:left="238" w:right="153"/>
                          <w:jc w:val="center"/>
                          <w:rPr>
                            <w:sz w:val="20"/>
                          </w:rPr>
                        </w:pPr>
                        <w:r>
                          <w:rPr>
                            <w:color w:val="231F20"/>
                            <w:sz w:val="20"/>
                          </w:rPr>
                          <w:t>0,127</w:t>
                        </w:r>
                      </w:p>
                    </w:tc>
                    <w:tc>
                      <w:tcPr>
                        <w:tcW w:w="843" w:type="dxa"/>
                        <w:tcBorders>
                          <w:top w:val="single" w:sz="2" w:space="0" w:color="231F20"/>
                          <w:bottom w:val="single" w:sz="2" w:space="0" w:color="231F20"/>
                        </w:tcBorders>
                      </w:tcPr>
                      <w:p>
                        <w:pPr>
                          <w:pStyle w:val="TableParagraph"/>
                          <w:spacing w:before="162"/>
                          <w:ind w:left="156" w:right="97"/>
                          <w:jc w:val="center"/>
                          <w:rPr>
                            <w:sz w:val="20"/>
                          </w:rPr>
                        </w:pPr>
                        <w:r>
                          <w:rPr>
                            <w:color w:val="231F20"/>
                            <w:sz w:val="20"/>
                          </w:rPr>
                          <w:t>-1,047</w:t>
                        </w:r>
                      </w:p>
                    </w:tc>
                    <w:tc>
                      <w:tcPr>
                        <w:tcW w:w="691" w:type="dxa"/>
                        <w:tcBorders>
                          <w:top w:val="single" w:sz="2" w:space="0" w:color="231F20"/>
                          <w:bottom w:val="single" w:sz="2" w:space="0" w:color="231F20"/>
                        </w:tcBorders>
                      </w:tcPr>
                      <w:p>
                        <w:pPr>
                          <w:pStyle w:val="TableParagraph"/>
                          <w:spacing w:before="162"/>
                          <w:ind w:left="100" w:right="100"/>
                          <w:jc w:val="center"/>
                          <w:rPr>
                            <w:sz w:val="20"/>
                          </w:rPr>
                        </w:pPr>
                        <w:r>
                          <w:rPr>
                            <w:color w:val="231F20"/>
                            <w:sz w:val="20"/>
                          </w:rPr>
                          <w:t>0,295</w:t>
                        </w:r>
                      </w:p>
                    </w:tc>
                    <w:tc>
                      <w:tcPr>
                        <w:tcW w:w="1097" w:type="dxa"/>
                        <w:tcBorders>
                          <w:top w:val="single" w:sz="2" w:space="0" w:color="231F20"/>
                          <w:bottom w:val="single" w:sz="2" w:space="0" w:color="231F20"/>
                        </w:tcBorders>
                      </w:tcPr>
                      <w:p>
                        <w:pPr>
                          <w:pStyle w:val="TableParagraph"/>
                          <w:spacing w:before="162"/>
                          <w:ind w:left="105" w:right="79"/>
                          <w:jc w:val="center"/>
                          <w:rPr>
                            <w:sz w:val="20"/>
                          </w:rPr>
                        </w:pPr>
                        <w:r>
                          <w:rPr>
                            <w:color w:val="231F20"/>
                            <w:sz w:val="20"/>
                          </w:rPr>
                          <w:t>H1b Ret</w:t>
                        </w:r>
                      </w:p>
                    </w:tc>
                  </w:tr>
                  <w:tr>
                    <w:trPr>
                      <w:trHeight w:val="547" w:hRule="atLeast"/>
                    </w:trPr>
                    <w:tc>
                      <w:tcPr>
                        <w:tcW w:w="4023" w:type="dxa"/>
                        <w:tcBorders>
                          <w:top w:val="single" w:sz="2" w:space="0" w:color="231F20"/>
                          <w:bottom w:val="single" w:sz="2" w:space="0" w:color="231F20"/>
                        </w:tcBorders>
                      </w:tcPr>
                      <w:p>
                        <w:pPr>
                          <w:pStyle w:val="TableParagraph"/>
                          <w:tabs>
                            <w:tab w:pos="3176" w:val="left" w:leader="none"/>
                          </w:tabs>
                          <w:spacing w:before="44"/>
                          <w:ind w:left="79"/>
                          <w:rPr>
                            <w:sz w:val="20"/>
                          </w:rPr>
                        </w:pPr>
                        <w:r>
                          <w:rPr>
                            <w:color w:val="231F20"/>
                            <w:sz w:val="20"/>
                          </w:rPr>
                          <w:t>Belirsizlik</w:t>
                        </w:r>
                        <w:r>
                          <w:rPr>
                            <w:color w:val="231F20"/>
                            <w:spacing w:val="-1"/>
                            <w:sz w:val="20"/>
                          </w:rPr>
                          <w:t> </w:t>
                        </w:r>
                        <w:r>
                          <w:rPr>
                            <w:color w:val="231F20"/>
                            <w:sz w:val="20"/>
                          </w:rPr>
                          <w:t>algısı</w:t>
                        </w:r>
                        <w:r>
                          <w:rPr>
                            <w:rFonts w:ascii="Wingdings" w:hAnsi="Wingdings"/>
                            <w:color w:val="231F20"/>
                            <w:sz w:val="20"/>
                          </w:rPr>
                          <w:t></w:t>
                        </w:r>
                        <w:r>
                          <w:rPr>
                            <w:color w:val="231F20"/>
                            <w:spacing w:val="-1"/>
                            <w:sz w:val="20"/>
                          </w:rPr>
                          <w:t> </w:t>
                        </w:r>
                        <w:r>
                          <w:rPr>
                            <w:color w:val="231F20"/>
                            <w:sz w:val="20"/>
                          </w:rPr>
                          <w:t>Çevik</w:t>
                          <w:tab/>
                        </w:r>
                        <w:r>
                          <w:rPr>
                            <w:color w:val="231F20"/>
                            <w:position w:val="-11"/>
                            <w:sz w:val="20"/>
                          </w:rPr>
                          <w:t>0,030</w:t>
                        </w:r>
                      </w:p>
                    </w:tc>
                    <w:tc>
                      <w:tcPr>
                        <w:tcW w:w="883" w:type="dxa"/>
                        <w:tcBorders>
                          <w:top w:val="single" w:sz="2" w:space="0" w:color="231F20"/>
                          <w:bottom w:val="single" w:sz="2" w:space="0" w:color="231F20"/>
                        </w:tcBorders>
                      </w:tcPr>
                      <w:p>
                        <w:pPr>
                          <w:pStyle w:val="TableParagraph"/>
                          <w:spacing w:before="162"/>
                          <w:ind w:left="238" w:right="153"/>
                          <w:jc w:val="center"/>
                          <w:rPr>
                            <w:sz w:val="20"/>
                          </w:rPr>
                        </w:pPr>
                        <w:r>
                          <w:rPr>
                            <w:color w:val="231F20"/>
                            <w:sz w:val="20"/>
                          </w:rPr>
                          <w:t>0,139</w:t>
                        </w:r>
                      </w:p>
                    </w:tc>
                    <w:tc>
                      <w:tcPr>
                        <w:tcW w:w="843" w:type="dxa"/>
                        <w:tcBorders>
                          <w:top w:val="single" w:sz="2" w:space="0" w:color="231F20"/>
                          <w:bottom w:val="single" w:sz="2" w:space="0" w:color="231F20"/>
                        </w:tcBorders>
                      </w:tcPr>
                      <w:p>
                        <w:pPr>
                          <w:pStyle w:val="TableParagraph"/>
                          <w:spacing w:before="162"/>
                          <w:ind w:left="156" w:right="96"/>
                          <w:jc w:val="center"/>
                          <w:rPr>
                            <w:sz w:val="20"/>
                          </w:rPr>
                        </w:pPr>
                        <w:r>
                          <w:rPr>
                            <w:color w:val="231F20"/>
                            <w:sz w:val="20"/>
                          </w:rPr>
                          <w:t>0,201</w:t>
                        </w:r>
                      </w:p>
                    </w:tc>
                    <w:tc>
                      <w:tcPr>
                        <w:tcW w:w="691" w:type="dxa"/>
                        <w:tcBorders>
                          <w:top w:val="single" w:sz="2" w:space="0" w:color="231F20"/>
                          <w:bottom w:val="single" w:sz="2" w:space="0" w:color="231F20"/>
                        </w:tcBorders>
                      </w:tcPr>
                      <w:p>
                        <w:pPr>
                          <w:pStyle w:val="TableParagraph"/>
                          <w:spacing w:before="162"/>
                          <w:ind w:left="100" w:right="100"/>
                          <w:jc w:val="center"/>
                          <w:rPr>
                            <w:sz w:val="20"/>
                          </w:rPr>
                        </w:pPr>
                        <w:r>
                          <w:rPr>
                            <w:color w:val="231F20"/>
                            <w:sz w:val="20"/>
                          </w:rPr>
                          <w:t>0,840</w:t>
                        </w:r>
                      </w:p>
                    </w:tc>
                    <w:tc>
                      <w:tcPr>
                        <w:tcW w:w="1097" w:type="dxa"/>
                        <w:tcBorders>
                          <w:top w:val="single" w:sz="2" w:space="0" w:color="231F20"/>
                          <w:bottom w:val="single" w:sz="2" w:space="0" w:color="231F20"/>
                        </w:tcBorders>
                      </w:tcPr>
                      <w:p>
                        <w:pPr>
                          <w:pStyle w:val="TableParagraph"/>
                          <w:spacing w:before="162"/>
                          <w:ind w:left="105" w:right="79"/>
                          <w:jc w:val="center"/>
                          <w:rPr>
                            <w:sz w:val="20"/>
                          </w:rPr>
                        </w:pPr>
                        <w:r>
                          <w:rPr>
                            <w:color w:val="231F20"/>
                            <w:sz w:val="20"/>
                          </w:rPr>
                          <w:t>H1c Ret</w:t>
                        </w:r>
                      </w:p>
                    </w:tc>
                  </w:tr>
                </w:tbl>
                <w:p>
                  <w:pPr>
                    <w:pStyle w:val="BodyText"/>
                  </w:pPr>
                </w:p>
              </w:txbxContent>
            </v:textbox>
            <w10:wrap type="none"/>
          </v:shape>
        </w:pict>
      </w:r>
      <w:r>
        <w:rPr>
          <w:color w:val="231F20"/>
        </w:rPr>
        <w:t>Tablo 8: Yol Analizi Sonuçları (n=3805)</w:t>
      </w:r>
    </w:p>
    <w:p>
      <w:pPr>
        <w:pStyle w:val="BodyText"/>
        <w:rPr>
          <w:b/>
        </w:rPr>
      </w:pPr>
    </w:p>
    <w:p>
      <w:pPr>
        <w:pStyle w:val="BodyText"/>
        <w:rPr>
          <w:b/>
        </w:rPr>
      </w:pPr>
    </w:p>
    <w:p>
      <w:pPr>
        <w:pStyle w:val="BodyText"/>
        <w:rPr>
          <w:b/>
        </w:rPr>
      </w:pPr>
    </w:p>
    <w:p>
      <w:pPr>
        <w:pStyle w:val="BodyText"/>
        <w:spacing w:before="2"/>
        <w:rPr>
          <w:b/>
          <w:sz w:val="21"/>
        </w:rPr>
      </w:pPr>
    </w:p>
    <w:p>
      <w:pPr>
        <w:pStyle w:val="BodyText"/>
        <w:spacing w:line="576" w:lineRule="auto"/>
        <w:ind w:left="331" w:right="5829" w:hanging="1"/>
      </w:pPr>
      <w:r>
        <w:rPr>
          <w:color w:val="231F20"/>
        </w:rPr>
        <w:t>Liderlik Becerisi</w:t>
      </w:r>
      <w:r>
        <w:rPr>
          <w:color w:val="231F20"/>
          <w:spacing w:val="-18"/>
        </w:rPr>
        <w:t> </w:t>
      </w:r>
      <w:r>
        <w:rPr>
          <w:color w:val="231F20"/>
        </w:rPr>
        <w:t>Algısı Liderlik Becerisi</w:t>
      </w:r>
      <w:r>
        <w:rPr>
          <w:color w:val="231F20"/>
          <w:spacing w:val="-11"/>
        </w:rPr>
        <w:t> </w:t>
      </w:r>
      <w:r>
        <w:rPr>
          <w:color w:val="231F20"/>
          <w:spacing w:val="-3"/>
        </w:rPr>
        <w:t>Algısı</w:t>
      </w:r>
    </w:p>
    <w:p>
      <w:pPr>
        <w:pStyle w:val="BodyText"/>
        <w:spacing w:before="2"/>
        <w:ind w:left="319" w:right="5820"/>
        <w:jc w:val="center"/>
      </w:pPr>
      <w:r>
        <w:rPr>
          <w:color w:val="231F20"/>
        </w:rPr>
        <w:t>Liderlik Becerisi</w:t>
      </w:r>
      <w:r>
        <w:rPr>
          <w:color w:val="231F20"/>
          <w:spacing w:val="-18"/>
        </w:rPr>
        <w:t> </w:t>
      </w:r>
      <w:r>
        <w:rPr>
          <w:color w:val="231F20"/>
        </w:rPr>
        <w:t>Algısı</w:t>
      </w:r>
    </w:p>
    <w:p>
      <w:pPr>
        <w:pStyle w:val="BodyText"/>
        <w:spacing w:before="79"/>
        <w:ind w:left="2200" w:right="2200"/>
        <w:jc w:val="center"/>
      </w:pPr>
      <w:r>
        <w:rPr>
          <w:color w:val="231F20"/>
        </w:rPr>
        <w:t>Uyum İndeksleri:</w:t>
      </w:r>
    </w:p>
    <w:p>
      <w:pPr>
        <w:pStyle w:val="BodyText"/>
        <w:spacing w:before="10"/>
        <w:ind w:left="2200" w:right="2200"/>
        <w:jc w:val="center"/>
      </w:pPr>
      <w:r>
        <w:rPr>
          <w:color w:val="231F20"/>
        </w:rPr>
        <w:t>Ort χ2(B-S): 1315,631; df:732; p:0,000</w:t>
      </w:r>
    </w:p>
    <w:p>
      <w:pPr>
        <w:pStyle w:val="BodyText"/>
        <w:spacing w:before="10"/>
        <w:ind w:left="341"/>
      </w:pPr>
      <w:r>
        <w:rPr/>
        <w:pict>
          <v:group style="position:absolute;margin-left:49.6063pt;margin-top:13.541944pt;width:377.05pt;height:.5pt;mso-position-horizontal-relative:page;mso-position-vertical-relative:paragraph;z-index:-15706112;mso-wrap-distance-left:0;mso-wrap-distance-right:0" coordorigin="992,271" coordsize="7541,10">
            <v:line style="position:absolute" from="992,276" to="3770,276" stroked="true" strokeweight=".5pt" strokecolor="#231f20">
              <v:stroke dashstyle="solid"/>
            </v:line>
            <v:line style="position:absolute" from="3770,276" to="5017,276" stroked="true" strokeweight=".5pt" strokecolor="#231f20">
              <v:stroke dashstyle="solid"/>
            </v:line>
            <v:line style="position:absolute" from="5017,276" to="5981,276" stroked="true" strokeweight=".5pt" strokecolor="#231f20">
              <v:stroke dashstyle="solid"/>
            </v:line>
            <v:line style="position:absolute" from="5981,276" to="6718,276" stroked="true" strokeweight=".5pt" strokecolor="#231f20">
              <v:stroke dashstyle="solid"/>
            </v:line>
            <v:line style="position:absolute" from="6718,276" to="7455,276" stroked="true" strokeweight=".5pt" strokecolor="#231f20">
              <v:stroke dashstyle="solid"/>
            </v:line>
            <v:line style="position:absolute" from="7455,276" to="8532,276" stroked="true" strokeweight=".5pt" strokecolor="#231f20">
              <v:stroke dashstyle="solid"/>
            </v:line>
            <w10:wrap type="topAndBottom"/>
          </v:group>
        </w:pict>
      </w:r>
      <w:r>
        <w:rPr>
          <w:color w:val="231F20"/>
        </w:rPr>
        <w:t>χ2/sd:1,797; RMSEA: 0,060; GFI:0,865; AGFI:0 ,848; NFI:0,918; CFI:0,923; SRMR:0,044</w:t>
      </w:r>
    </w:p>
    <w:p>
      <w:pPr>
        <w:spacing w:before="55"/>
        <w:ind w:left="252" w:right="0" w:firstLine="0"/>
        <w:jc w:val="left"/>
        <w:rPr>
          <w:sz w:val="16"/>
        </w:rPr>
      </w:pPr>
      <w:r>
        <w:rPr>
          <w:color w:val="231F20"/>
          <w:sz w:val="16"/>
        </w:rPr>
        <w:t>***p&lt;,001; **p&lt;,01; *p&lt;,05</w:t>
      </w:r>
    </w:p>
    <w:p>
      <w:pPr>
        <w:pStyle w:val="BodyText"/>
        <w:spacing w:before="3"/>
        <w:rPr>
          <w:sz w:val="21"/>
        </w:rPr>
      </w:pPr>
    </w:p>
    <w:p>
      <w:pPr>
        <w:pStyle w:val="Heading1"/>
        <w:spacing w:before="1"/>
      </w:pPr>
      <w:r>
        <w:rPr/>
        <w:pict>
          <v:group style="position:absolute;margin-left:49.6063pt;margin-top:16.220924pt;width:377.05pt;height:327.9pt;mso-position-horizontal-relative:page;mso-position-vertical-relative:paragraph;z-index:-15705600;mso-wrap-distance-left:0;mso-wrap-distance-right:0" coordorigin="992,324" coordsize="7541,6558">
            <v:line style="position:absolute" from="992,329" to="8532,329" stroked="true" strokeweight=".5pt" strokecolor="#231f20">
              <v:stroke dashstyle="solid"/>
            </v:line>
            <v:line style="position:absolute" from="997,6872" to="997,334" stroked="true" strokeweight=".5pt" strokecolor="#231f20">
              <v:stroke dashstyle="solid"/>
            </v:line>
            <v:line style="position:absolute" from="8527,6872" to="8527,334" stroked="true" strokeweight=".5pt" strokecolor="#231f20">
              <v:stroke dashstyle="solid"/>
            </v:line>
            <v:line style="position:absolute" from="992,6877" to="8532,6877" stroked="true" strokeweight=".5pt" strokecolor="#231f20">
              <v:stroke dashstyle="solid"/>
            </v:line>
            <v:shape style="position:absolute;left:2752;top:452;width:4004;height:6346" type="#_x0000_t75" stroked="false">
              <v:imagedata r:id="rId23" o:title=""/>
            </v:shape>
            <w10:wrap type="topAndBottom"/>
          </v:group>
        </w:pict>
      </w:r>
      <w:r>
        <w:rPr>
          <w:color w:val="231F20"/>
        </w:rPr>
        <w:t>Şekil 8: Yol Analizi Modeli</w:t>
      </w:r>
    </w:p>
    <w:p>
      <w:pPr>
        <w:spacing w:after="0"/>
        <w:sectPr>
          <w:pgSz w:w="9530" w:h="13610"/>
          <w:pgMar w:header="700" w:footer="344" w:top="1060" w:bottom="540" w:left="740" w:right="740"/>
        </w:sectPr>
      </w:pPr>
    </w:p>
    <w:p>
      <w:pPr>
        <w:pStyle w:val="BodyText"/>
        <w:rPr>
          <w:b/>
        </w:rPr>
      </w:pPr>
    </w:p>
    <w:p>
      <w:pPr>
        <w:pStyle w:val="BodyText"/>
        <w:spacing w:before="1"/>
        <w:rPr>
          <w:b/>
        </w:rPr>
      </w:pPr>
    </w:p>
    <w:p>
      <w:pPr>
        <w:pStyle w:val="ListParagraph"/>
        <w:numPr>
          <w:ilvl w:val="0"/>
          <w:numId w:val="1"/>
        </w:numPr>
        <w:tabs>
          <w:tab w:pos="449" w:val="left" w:leader="none"/>
        </w:tabs>
        <w:spacing w:line="240" w:lineRule="auto" w:before="1" w:after="0"/>
        <w:ind w:left="448" w:right="0" w:hanging="197"/>
        <w:jc w:val="left"/>
        <w:rPr>
          <w:b/>
          <w:sz w:val="20"/>
        </w:rPr>
      </w:pPr>
      <w:r>
        <w:rPr>
          <w:b/>
          <w:color w:val="034694"/>
          <w:sz w:val="20"/>
        </w:rPr>
        <w:t>Tartışma ve</w:t>
      </w:r>
      <w:r>
        <w:rPr>
          <w:b/>
          <w:color w:val="034694"/>
          <w:spacing w:val="-1"/>
          <w:sz w:val="20"/>
        </w:rPr>
        <w:t> </w:t>
      </w:r>
      <w:r>
        <w:rPr>
          <w:b/>
          <w:color w:val="034694"/>
          <w:sz w:val="20"/>
        </w:rPr>
        <w:t>Sonuç</w:t>
      </w:r>
    </w:p>
    <w:p>
      <w:pPr>
        <w:pStyle w:val="BodyText"/>
        <w:spacing w:line="249" w:lineRule="auto" w:before="123"/>
        <w:ind w:left="252" w:right="247" w:firstLine="567"/>
        <w:jc w:val="both"/>
      </w:pPr>
      <w:r>
        <w:rPr>
          <w:color w:val="231F20"/>
        </w:rPr>
        <w:t>Bilgi ve teknoloji alanlarındaki hızlı gelişmeler, tüketici ihtiyaç, istek ve taleplerinin farklılaşması, finansal alandaki krizlerle oluşan dalgalı bir ekonomik çevre ve son dönemde- ki salgın kaynaklı pandemi ortamı, işletmeleri daha belirsiz, öngörülemeyen ve karmaşık bir gelecek</w:t>
      </w:r>
      <w:r>
        <w:rPr>
          <w:color w:val="231F20"/>
          <w:spacing w:val="-9"/>
        </w:rPr>
        <w:t> </w:t>
      </w:r>
      <w:r>
        <w:rPr>
          <w:color w:val="231F20"/>
        </w:rPr>
        <w:t>içinde</w:t>
      </w:r>
      <w:r>
        <w:rPr>
          <w:color w:val="231F20"/>
          <w:spacing w:val="-9"/>
        </w:rPr>
        <w:t> </w:t>
      </w:r>
      <w:r>
        <w:rPr>
          <w:color w:val="231F20"/>
        </w:rPr>
        <w:t>bırakmıştır</w:t>
      </w:r>
      <w:r>
        <w:rPr>
          <w:color w:val="231F20"/>
          <w:spacing w:val="-8"/>
        </w:rPr>
        <w:t> </w:t>
      </w:r>
      <w:r>
        <w:rPr>
          <w:color w:val="231F20"/>
        </w:rPr>
        <w:t>(Özen</w:t>
      </w:r>
      <w:r>
        <w:rPr>
          <w:color w:val="231F20"/>
          <w:spacing w:val="-9"/>
        </w:rPr>
        <w:t> </w:t>
      </w:r>
      <w:r>
        <w:rPr>
          <w:color w:val="231F20"/>
        </w:rPr>
        <w:t>&amp;</w:t>
      </w:r>
      <w:r>
        <w:rPr>
          <w:color w:val="231F20"/>
          <w:spacing w:val="-8"/>
        </w:rPr>
        <w:t> </w:t>
      </w:r>
      <w:r>
        <w:rPr>
          <w:color w:val="231F20"/>
        </w:rPr>
        <w:t>Koç,</w:t>
      </w:r>
      <w:r>
        <w:rPr>
          <w:color w:val="231F20"/>
          <w:spacing w:val="-9"/>
        </w:rPr>
        <w:t> </w:t>
      </w:r>
      <w:r>
        <w:rPr>
          <w:color w:val="231F20"/>
        </w:rPr>
        <w:t>2021).</w:t>
      </w:r>
      <w:r>
        <w:rPr>
          <w:color w:val="231F20"/>
          <w:spacing w:val="-8"/>
        </w:rPr>
        <w:t> </w:t>
      </w:r>
      <w:r>
        <w:rPr>
          <w:color w:val="231F20"/>
        </w:rPr>
        <w:t>İş</w:t>
      </w:r>
      <w:r>
        <w:rPr>
          <w:color w:val="231F20"/>
          <w:spacing w:val="-8"/>
        </w:rPr>
        <w:t> </w:t>
      </w:r>
      <w:r>
        <w:rPr>
          <w:color w:val="231F20"/>
        </w:rPr>
        <w:t>ve</w:t>
      </w:r>
      <w:r>
        <w:rPr>
          <w:color w:val="231F20"/>
          <w:spacing w:val="-8"/>
        </w:rPr>
        <w:t> </w:t>
      </w:r>
      <w:r>
        <w:rPr>
          <w:color w:val="231F20"/>
        </w:rPr>
        <w:t>yönetim</w:t>
      </w:r>
      <w:r>
        <w:rPr>
          <w:color w:val="231F20"/>
          <w:spacing w:val="-9"/>
        </w:rPr>
        <w:t> </w:t>
      </w:r>
      <w:r>
        <w:rPr>
          <w:color w:val="231F20"/>
        </w:rPr>
        <w:t>kültürünün</w:t>
      </w:r>
      <w:r>
        <w:rPr>
          <w:color w:val="231F20"/>
          <w:spacing w:val="-8"/>
        </w:rPr>
        <w:t> </w:t>
      </w:r>
      <w:r>
        <w:rPr>
          <w:color w:val="231F20"/>
        </w:rPr>
        <w:t>kaotik</w:t>
      </w:r>
      <w:r>
        <w:rPr>
          <w:color w:val="231F20"/>
          <w:spacing w:val="-9"/>
        </w:rPr>
        <w:t> </w:t>
      </w:r>
      <w:r>
        <w:rPr>
          <w:color w:val="231F20"/>
        </w:rPr>
        <w:t>yapısı,</w:t>
      </w:r>
      <w:r>
        <w:rPr>
          <w:color w:val="231F20"/>
          <w:spacing w:val="-8"/>
        </w:rPr>
        <w:t> </w:t>
      </w:r>
      <w:r>
        <w:rPr>
          <w:color w:val="231F20"/>
        </w:rPr>
        <w:t>VUCA akronimi ile ifade edilebilir. Mart 2020 itibariyle başlayan pandeminin etkisiyle VUCA orta- mı daha fazla hissedilmiştir. Getireceği birçok paradigma değişikliğiyle işletmeleri yönetsel değişime</w:t>
      </w:r>
      <w:r>
        <w:rPr>
          <w:color w:val="231F20"/>
          <w:spacing w:val="-6"/>
        </w:rPr>
        <w:t> </w:t>
      </w:r>
      <w:r>
        <w:rPr>
          <w:color w:val="231F20"/>
        </w:rPr>
        <w:t>zorlayan</w:t>
      </w:r>
      <w:r>
        <w:rPr>
          <w:color w:val="231F20"/>
          <w:spacing w:val="-5"/>
        </w:rPr>
        <w:t> </w:t>
      </w:r>
      <w:r>
        <w:rPr>
          <w:color w:val="231F20"/>
        </w:rPr>
        <w:t>VUCA</w:t>
      </w:r>
      <w:r>
        <w:rPr>
          <w:color w:val="231F20"/>
          <w:spacing w:val="-5"/>
        </w:rPr>
        <w:t> </w:t>
      </w:r>
      <w:r>
        <w:rPr>
          <w:color w:val="231F20"/>
        </w:rPr>
        <w:t>ortamlarında,</w:t>
      </w:r>
      <w:r>
        <w:rPr>
          <w:color w:val="231F20"/>
          <w:spacing w:val="-6"/>
        </w:rPr>
        <w:t> </w:t>
      </w:r>
      <w:r>
        <w:rPr>
          <w:color w:val="231F20"/>
        </w:rPr>
        <w:t>işletmelerin</w:t>
      </w:r>
      <w:r>
        <w:rPr>
          <w:color w:val="231F20"/>
          <w:spacing w:val="-5"/>
        </w:rPr>
        <w:t> </w:t>
      </w:r>
      <w:r>
        <w:rPr>
          <w:color w:val="231F20"/>
        </w:rPr>
        <w:t>değişken</w:t>
      </w:r>
      <w:r>
        <w:rPr>
          <w:color w:val="231F20"/>
          <w:spacing w:val="-5"/>
        </w:rPr>
        <w:t> </w:t>
      </w:r>
      <w:r>
        <w:rPr>
          <w:color w:val="231F20"/>
        </w:rPr>
        <w:t>koşullara</w:t>
      </w:r>
      <w:r>
        <w:rPr>
          <w:color w:val="231F20"/>
          <w:spacing w:val="-5"/>
        </w:rPr>
        <w:t> </w:t>
      </w:r>
      <w:r>
        <w:rPr>
          <w:color w:val="231F20"/>
        </w:rPr>
        <w:t>daha</w:t>
      </w:r>
      <w:r>
        <w:rPr>
          <w:color w:val="231F20"/>
          <w:spacing w:val="-6"/>
        </w:rPr>
        <w:t> </w:t>
      </w:r>
      <w:r>
        <w:rPr>
          <w:color w:val="231F20"/>
        </w:rPr>
        <w:t>esnek</w:t>
      </w:r>
      <w:r>
        <w:rPr>
          <w:color w:val="231F20"/>
          <w:spacing w:val="-5"/>
        </w:rPr>
        <w:t> </w:t>
      </w:r>
      <w:r>
        <w:rPr>
          <w:color w:val="231F20"/>
        </w:rPr>
        <w:t>ve</w:t>
      </w:r>
      <w:r>
        <w:rPr>
          <w:color w:val="231F20"/>
          <w:spacing w:val="-5"/>
        </w:rPr>
        <w:t> </w:t>
      </w:r>
      <w:r>
        <w:rPr>
          <w:color w:val="231F20"/>
        </w:rPr>
        <w:t>hızlı</w:t>
      </w:r>
      <w:r>
        <w:rPr>
          <w:color w:val="231F20"/>
          <w:spacing w:val="-5"/>
        </w:rPr>
        <w:t> </w:t>
      </w:r>
      <w:r>
        <w:rPr>
          <w:color w:val="231F20"/>
        </w:rPr>
        <w:t>bir şekilde</w:t>
      </w:r>
      <w:r>
        <w:rPr>
          <w:color w:val="231F20"/>
          <w:spacing w:val="-9"/>
        </w:rPr>
        <w:t> </w:t>
      </w:r>
      <w:r>
        <w:rPr>
          <w:color w:val="231F20"/>
        </w:rPr>
        <w:t>uyum</w:t>
      </w:r>
      <w:r>
        <w:rPr>
          <w:color w:val="231F20"/>
          <w:spacing w:val="-8"/>
        </w:rPr>
        <w:t> </w:t>
      </w:r>
      <w:r>
        <w:rPr>
          <w:color w:val="231F20"/>
        </w:rPr>
        <w:t>sağlayarak</w:t>
      </w:r>
      <w:r>
        <w:rPr>
          <w:color w:val="231F20"/>
          <w:spacing w:val="-8"/>
        </w:rPr>
        <w:t> </w:t>
      </w:r>
      <w:r>
        <w:rPr>
          <w:color w:val="231F20"/>
        </w:rPr>
        <w:t>bütünsel</w:t>
      </w:r>
      <w:r>
        <w:rPr>
          <w:color w:val="231F20"/>
          <w:spacing w:val="-9"/>
        </w:rPr>
        <w:t> </w:t>
      </w:r>
      <w:r>
        <w:rPr>
          <w:color w:val="231F20"/>
        </w:rPr>
        <w:t>çıkarlarını</w:t>
      </w:r>
      <w:r>
        <w:rPr>
          <w:color w:val="231F20"/>
          <w:spacing w:val="-8"/>
        </w:rPr>
        <w:t> </w:t>
      </w:r>
      <w:r>
        <w:rPr>
          <w:color w:val="231F20"/>
        </w:rPr>
        <w:t>maksimum</w:t>
      </w:r>
      <w:r>
        <w:rPr>
          <w:color w:val="231F20"/>
          <w:spacing w:val="-8"/>
        </w:rPr>
        <w:t> </w:t>
      </w:r>
      <w:r>
        <w:rPr>
          <w:color w:val="231F20"/>
        </w:rPr>
        <w:t>faydada</w:t>
      </w:r>
      <w:r>
        <w:rPr>
          <w:color w:val="231F20"/>
          <w:spacing w:val="-8"/>
        </w:rPr>
        <w:t> </w:t>
      </w:r>
      <w:r>
        <w:rPr>
          <w:color w:val="231F20"/>
        </w:rPr>
        <w:t>tutabilmesi</w:t>
      </w:r>
      <w:r>
        <w:rPr>
          <w:color w:val="231F20"/>
          <w:spacing w:val="-9"/>
        </w:rPr>
        <w:t> </w:t>
      </w:r>
      <w:r>
        <w:rPr>
          <w:color w:val="231F20"/>
        </w:rPr>
        <w:t>için</w:t>
      </w:r>
      <w:r>
        <w:rPr>
          <w:color w:val="231F20"/>
          <w:spacing w:val="-8"/>
        </w:rPr>
        <w:t> </w:t>
      </w:r>
      <w:r>
        <w:rPr>
          <w:color w:val="231F20"/>
        </w:rPr>
        <w:t>yönetim</w:t>
      </w:r>
      <w:r>
        <w:rPr>
          <w:color w:val="231F20"/>
          <w:spacing w:val="-8"/>
        </w:rPr>
        <w:t> </w:t>
      </w:r>
      <w:r>
        <w:rPr>
          <w:color w:val="231F20"/>
        </w:rPr>
        <w:t>ve</w:t>
      </w:r>
      <w:r>
        <w:rPr>
          <w:color w:val="231F20"/>
          <w:spacing w:val="-9"/>
        </w:rPr>
        <w:t> </w:t>
      </w:r>
      <w:r>
        <w:rPr>
          <w:color w:val="231F20"/>
        </w:rPr>
        <w:t>iş yapma biçimlerinin yeni yaklaşımlara evrilmesine ihtiyaç vardır.</w:t>
      </w:r>
    </w:p>
    <w:p>
      <w:pPr>
        <w:pStyle w:val="BodyText"/>
        <w:spacing w:line="249" w:lineRule="auto" w:before="121"/>
        <w:ind w:left="252" w:right="248" w:firstLine="567"/>
        <w:jc w:val="both"/>
      </w:pPr>
      <w:r>
        <w:rPr>
          <w:color w:val="231F20"/>
        </w:rPr>
        <w:t>Alan yazındaki araştırmalarda yeni bir yaklaşım olarak çevik liderlik ve bu liderlik yaklaşımına yönelik algılama vurgulanmıştır (Hayward, 2018; Bushuyeva vd., 2019; Kostrad, 2019; Baran &amp; Woznyj, 2020; Wan &amp;Tan, 2021). Dinamik iş çevresinde rekabet avantajının sürdürülebilmesi,</w:t>
      </w:r>
      <w:r>
        <w:rPr>
          <w:color w:val="231F20"/>
          <w:spacing w:val="-10"/>
        </w:rPr>
        <w:t> </w:t>
      </w:r>
      <w:r>
        <w:rPr>
          <w:color w:val="231F20"/>
        </w:rPr>
        <w:t>örgütteki</w:t>
      </w:r>
      <w:r>
        <w:rPr>
          <w:color w:val="231F20"/>
          <w:spacing w:val="-10"/>
        </w:rPr>
        <w:t> </w:t>
      </w:r>
      <w:r>
        <w:rPr>
          <w:color w:val="231F20"/>
        </w:rPr>
        <w:t>tüm</w:t>
      </w:r>
      <w:r>
        <w:rPr>
          <w:color w:val="231F20"/>
          <w:spacing w:val="-9"/>
        </w:rPr>
        <w:t> </w:t>
      </w:r>
      <w:r>
        <w:rPr>
          <w:color w:val="231F20"/>
        </w:rPr>
        <w:t>departman</w:t>
      </w:r>
      <w:r>
        <w:rPr>
          <w:color w:val="231F20"/>
          <w:spacing w:val="-10"/>
        </w:rPr>
        <w:t> </w:t>
      </w:r>
      <w:r>
        <w:rPr>
          <w:color w:val="231F20"/>
        </w:rPr>
        <w:t>ve</w:t>
      </w:r>
      <w:r>
        <w:rPr>
          <w:color w:val="231F20"/>
          <w:spacing w:val="-10"/>
        </w:rPr>
        <w:t> </w:t>
      </w:r>
      <w:r>
        <w:rPr>
          <w:color w:val="231F20"/>
        </w:rPr>
        <w:t>çalışanların</w:t>
      </w:r>
      <w:r>
        <w:rPr>
          <w:color w:val="231F20"/>
          <w:spacing w:val="-9"/>
        </w:rPr>
        <w:t> </w:t>
      </w:r>
      <w:r>
        <w:rPr>
          <w:color w:val="231F20"/>
        </w:rPr>
        <w:t>çevik</w:t>
      </w:r>
      <w:r>
        <w:rPr>
          <w:color w:val="231F20"/>
          <w:spacing w:val="-10"/>
        </w:rPr>
        <w:t> </w:t>
      </w:r>
      <w:r>
        <w:rPr>
          <w:color w:val="231F20"/>
        </w:rPr>
        <w:t>olmanın</w:t>
      </w:r>
      <w:r>
        <w:rPr>
          <w:color w:val="231F20"/>
          <w:spacing w:val="-10"/>
        </w:rPr>
        <w:t> </w:t>
      </w:r>
      <w:r>
        <w:rPr>
          <w:color w:val="231F20"/>
        </w:rPr>
        <w:t>gerekliliğini</w:t>
      </w:r>
      <w:r>
        <w:rPr>
          <w:color w:val="231F20"/>
          <w:spacing w:val="-9"/>
        </w:rPr>
        <w:t> </w:t>
      </w:r>
      <w:r>
        <w:rPr>
          <w:color w:val="231F20"/>
        </w:rPr>
        <w:t>anlaması ve benimsemesiyle mümkün olacaktır. Bunu sağlayabilecek örgütsel ve yönetimsel özne ise çevik yetkinliklere sahip yönetici liderlerdir (Akkaya &amp; Tabak, 2018; Attar &amp; Abdul-Kareem, 2020).</w:t>
      </w:r>
    </w:p>
    <w:p>
      <w:pPr>
        <w:pStyle w:val="BodyText"/>
        <w:spacing w:line="249" w:lineRule="auto" w:before="119"/>
        <w:ind w:left="252" w:right="249" w:firstLine="567"/>
        <w:jc w:val="both"/>
      </w:pPr>
      <w:r>
        <w:rPr>
          <w:color w:val="231F20"/>
        </w:rPr>
        <w:t>Alan yazındaki araştırma sonuçlarına bakıldığında (Petry, 2018; Joiner, 2019; Abba-  si &amp; Ruf, 2020; Narayan, 2021; Chen, 2022) çevikliğin özümsenmesi ve uygulanması için bireylerin değişime hızlı adapte olmalarını sağlayarak değişimi yöneten, deneyerek</w:t>
      </w:r>
      <w:r>
        <w:rPr>
          <w:color w:val="231F20"/>
          <w:spacing w:val="-27"/>
        </w:rPr>
        <w:t> </w:t>
      </w:r>
      <w:r>
        <w:rPr>
          <w:color w:val="231F20"/>
        </w:rPr>
        <w:t>iyileştirme ve sürekli öğrenmeyi kültür haline getiren, yenilikçi bakış açısıyla çok daha esnek, işbirlikçi ve çevik liderlere ihtiyaç olduğu sonucuna varılmaktadır. Yönetsel felsefe ve metodolojiler bağlamında güncel durum ve sorunlara karşı çevik liderlik yaklaşımının bugün ve gelecekte alternatif çözüm sunabileceği</w:t>
      </w:r>
      <w:r>
        <w:rPr>
          <w:color w:val="231F20"/>
          <w:spacing w:val="-2"/>
        </w:rPr>
        <w:t> </w:t>
      </w:r>
      <w:r>
        <w:rPr>
          <w:color w:val="231F20"/>
        </w:rPr>
        <w:t>düşünülmektedir.</w:t>
      </w:r>
    </w:p>
    <w:p>
      <w:pPr>
        <w:pStyle w:val="BodyText"/>
        <w:spacing w:line="249" w:lineRule="auto" w:before="119"/>
        <w:ind w:left="252" w:right="248" w:firstLine="567"/>
        <w:jc w:val="both"/>
      </w:pPr>
      <w:r>
        <w:rPr>
          <w:color w:val="231F20"/>
        </w:rPr>
        <w:t>VUCA algısına yönelik bulgular incelendiğinde, çalışanların değişkenlik (oynaklık) algısının karmaşıklık ve belirsizlik algısından daha yüksek olduğu görülmektedir. Bu sonuç, alan yazındaki bazı araştırmaları desteklemektedir. Bennet &amp; Lemoine (2014) VUCA genel tanımı içerisinde temsil bileşeninin değişkenlik olduğunu belirtmiştir. Redelinghuis (2018)’in yöneticilerin çalışma ortamlarına ilişkin algı ve anlayışlarını tespit etmeyi amaçladığı araştır- masında, katılımcılar tarafından en önemli unsurun değişkenlik olduğu belirtilmiştir.</w:t>
      </w:r>
    </w:p>
    <w:p>
      <w:pPr>
        <w:pStyle w:val="BodyText"/>
        <w:spacing w:line="249" w:lineRule="auto" w:before="118"/>
        <w:ind w:left="252" w:right="249" w:firstLine="567"/>
        <w:jc w:val="both"/>
      </w:pPr>
      <w:r>
        <w:rPr>
          <w:color w:val="231F20"/>
        </w:rPr>
        <w:t>Mack &amp; Khare (2016) değişkenliği kolayca yorumlanamayan karmaşık bir sistemin gözlemlenebilir</w:t>
      </w:r>
      <w:r>
        <w:rPr>
          <w:color w:val="231F20"/>
          <w:spacing w:val="-6"/>
        </w:rPr>
        <w:t> </w:t>
      </w:r>
      <w:r>
        <w:rPr>
          <w:color w:val="231F20"/>
        </w:rPr>
        <w:t>çıktısı</w:t>
      </w:r>
      <w:r>
        <w:rPr>
          <w:color w:val="231F20"/>
          <w:spacing w:val="-6"/>
        </w:rPr>
        <w:t> </w:t>
      </w:r>
      <w:r>
        <w:rPr>
          <w:color w:val="231F20"/>
        </w:rPr>
        <w:t>olarak</w:t>
      </w:r>
      <w:r>
        <w:rPr>
          <w:color w:val="231F20"/>
          <w:spacing w:val="-5"/>
        </w:rPr>
        <w:t> </w:t>
      </w:r>
      <w:r>
        <w:rPr>
          <w:color w:val="231F20"/>
        </w:rPr>
        <w:t>ifade</w:t>
      </w:r>
      <w:r>
        <w:rPr>
          <w:color w:val="231F20"/>
          <w:spacing w:val="-6"/>
        </w:rPr>
        <w:t> </w:t>
      </w:r>
      <w:r>
        <w:rPr>
          <w:color w:val="231F20"/>
        </w:rPr>
        <w:t>etmiştir.</w:t>
      </w:r>
      <w:r>
        <w:rPr>
          <w:color w:val="231F20"/>
          <w:spacing w:val="-6"/>
        </w:rPr>
        <w:t> </w:t>
      </w:r>
      <w:r>
        <w:rPr>
          <w:color w:val="231F20"/>
        </w:rPr>
        <w:t>Benzer</w:t>
      </w:r>
      <w:r>
        <w:rPr>
          <w:color w:val="231F20"/>
          <w:spacing w:val="-5"/>
        </w:rPr>
        <w:t> </w:t>
      </w:r>
      <w:r>
        <w:rPr>
          <w:color w:val="231F20"/>
        </w:rPr>
        <w:t>şekilde</w:t>
      </w:r>
      <w:r>
        <w:rPr>
          <w:color w:val="231F20"/>
          <w:spacing w:val="-6"/>
        </w:rPr>
        <w:t> </w:t>
      </w:r>
      <w:r>
        <w:rPr>
          <w:color w:val="231F20"/>
        </w:rPr>
        <w:t>değişkenliğin;</w:t>
      </w:r>
      <w:r>
        <w:rPr>
          <w:color w:val="231F20"/>
          <w:spacing w:val="-6"/>
        </w:rPr>
        <w:t> </w:t>
      </w:r>
      <w:r>
        <w:rPr>
          <w:color w:val="231F20"/>
        </w:rPr>
        <w:t>küreselleşme,</w:t>
      </w:r>
      <w:r>
        <w:rPr>
          <w:color w:val="231F20"/>
          <w:spacing w:val="-5"/>
        </w:rPr>
        <w:t> </w:t>
      </w:r>
      <w:r>
        <w:rPr>
          <w:color w:val="231F20"/>
        </w:rPr>
        <w:t>dijital ve sosyal medya teknolojileri, değişken pazarlarda üretim yapan karşılıklı finansal bağımlılık- lar</w:t>
      </w:r>
      <w:r>
        <w:rPr>
          <w:color w:val="231F20"/>
          <w:spacing w:val="-3"/>
        </w:rPr>
        <w:t> </w:t>
      </w:r>
      <w:r>
        <w:rPr>
          <w:color w:val="231F20"/>
        </w:rPr>
        <w:t>ve</w:t>
      </w:r>
      <w:r>
        <w:rPr>
          <w:color w:val="231F20"/>
          <w:spacing w:val="-3"/>
        </w:rPr>
        <w:t> </w:t>
      </w:r>
      <w:r>
        <w:rPr>
          <w:color w:val="231F20"/>
        </w:rPr>
        <w:t>sürekli</w:t>
      </w:r>
      <w:r>
        <w:rPr>
          <w:color w:val="231F20"/>
          <w:spacing w:val="-4"/>
        </w:rPr>
        <w:t> </w:t>
      </w:r>
      <w:r>
        <w:rPr>
          <w:color w:val="231F20"/>
        </w:rPr>
        <w:t>değişen</w:t>
      </w:r>
      <w:r>
        <w:rPr>
          <w:color w:val="231F20"/>
          <w:spacing w:val="-4"/>
        </w:rPr>
        <w:t> </w:t>
      </w:r>
      <w:r>
        <w:rPr>
          <w:color w:val="231F20"/>
        </w:rPr>
        <w:t>taleplere</w:t>
      </w:r>
      <w:r>
        <w:rPr>
          <w:color w:val="231F20"/>
          <w:spacing w:val="-4"/>
        </w:rPr>
        <w:t> </w:t>
      </w:r>
      <w:r>
        <w:rPr>
          <w:color w:val="231F20"/>
        </w:rPr>
        <w:t>yol</w:t>
      </w:r>
      <w:r>
        <w:rPr>
          <w:color w:val="231F20"/>
          <w:spacing w:val="-3"/>
        </w:rPr>
        <w:t> </w:t>
      </w:r>
      <w:r>
        <w:rPr>
          <w:color w:val="231F20"/>
        </w:rPr>
        <w:t>açan</w:t>
      </w:r>
      <w:r>
        <w:rPr>
          <w:color w:val="231F20"/>
          <w:spacing w:val="-4"/>
        </w:rPr>
        <w:t> </w:t>
      </w:r>
      <w:r>
        <w:rPr>
          <w:color w:val="231F20"/>
        </w:rPr>
        <w:t>artan</w:t>
      </w:r>
      <w:r>
        <w:rPr>
          <w:color w:val="231F20"/>
          <w:spacing w:val="-3"/>
        </w:rPr>
        <w:t> </w:t>
      </w:r>
      <w:r>
        <w:rPr>
          <w:color w:val="231F20"/>
        </w:rPr>
        <w:t>tüketici</w:t>
      </w:r>
      <w:r>
        <w:rPr>
          <w:color w:val="231F20"/>
          <w:spacing w:val="-4"/>
        </w:rPr>
        <w:t> </w:t>
      </w:r>
      <w:r>
        <w:rPr>
          <w:color w:val="231F20"/>
        </w:rPr>
        <w:t>bilincinden</w:t>
      </w:r>
      <w:r>
        <w:rPr>
          <w:color w:val="231F20"/>
          <w:spacing w:val="-4"/>
        </w:rPr>
        <w:t> </w:t>
      </w:r>
      <w:r>
        <w:rPr>
          <w:color w:val="231F20"/>
        </w:rPr>
        <w:t>beslendiğini</w:t>
      </w:r>
      <w:r>
        <w:rPr>
          <w:color w:val="231F20"/>
          <w:spacing w:val="-4"/>
        </w:rPr>
        <w:t> </w:t>
      </w:r>
      <w:r>
        <w:rPr>
          <w:color w:val="231F20"/>
        </w:rPr>
        <w:t>savunan</w:t>
      </w:r>
      <w:r>
        <w:rPr>
          <w:color w:val="231F20"/>
          <w:spacing w:val="-4"/>
        </w:rPr>
        <w:t> </w:t>
      </w:r>
      <w:r>
        <w:rPr>
          <w:color w:val="231F20"/>
        </w:rPr>
        <w:t>araştır- macılar da bulunmaktadır (Heinonen vd., 2017; Horney &amp; O’Shea, 2015). Bu bağlamda çoklu etkenlerin bir bileşeni olarak değişkenlik algısının daha çok hissedilmesi tutarlılık gösteren  bir sonuçtur. Bu bağlamda, değişim kavramının hız, zorlayıcılık ve algılanma boyutlarıyla ele alınabileceği öngörülmektedir.</w:t>
      </w:r>
    </w:p>
    <w:p>
      <w:pPr>
        <w:pStyle w:val="BodyText"/>
        <w:spacing w:line="249" w:lineRule="auto" w:before="120"/>
        <w:ind w:left="252" w:right="249" w:firstLine="567"/>
        <w:jc w:val="both"/>
      </w:pPr>
      <w:r>
        <w:rPr>
          <w:color w:val="231F20"/>
        </w:rPr>
        <w:t>Temel dinamik öğe olan “hız” kısa, orta ve uzun periyotta birim zamanda gerçekleşen piyasa ve pazardaki ivmelenmedir ve değişimin hissedilmesine neden olmaktadır. Hız arttıkça ve ivme kazandıkça, değişkenliğin çalışanlar tarafından daha hissedilebilir hale gelerek çok daha zorlayıcı olabileceği değerlendirilmektedir. Bu kapsamda, araştırmada bu bileşene dair</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BodyText"/>
        <w:spacing w:line="249" w:lineRule="auto" w:before="1"/>
        <w:ind w:left="252" w:right="248"/>
        <w:jc w:val="both"/>
      </w:pPr>
      <w:r>
        <w:rPr>
          <w:color w:val="231F20"/>
        </w:rPr>
        <w:t>tespit edilen yüksek algının bir diğer nedeninin “değişimin zorlayıcılığı” olabileceğini düşün- dürmektedir.</w:t>
      </w:r>
      <w:r>
        <w:rPr>
          <w:color w:val="231F20"/>
          <w:spacing w:val="-12"/>
        </w:rPr>
        <w:t> </w:t>
      </w:r>
      <w:r>
        <w:rPr>
          <w:color w:val="231F20"/>
        </w:rPr>
        <w:t>Bu</w:t>
      </w:r>
      <w:r>
        <w:rPr>
          <w:color w:val="231F20"/>
          <w:spacing w:val="-11"/>
        </w:rPr>
        <w:t> </w:t>
      </w:r>
      <w:r>
        <w:rPr>
          <w:color w:val="231F20"/>
        </w:rPr>
        <w:t>zorlayıcılıkla</w:t>
      </w:r>
      <w:r>
        <w:rPr>
          <w:color w:val="231F20"/>
          <w:spacing w:val="-11"/>
        </w:rPr>
        <w:t> </w:t>
      </w:r>
      <w:r>
        <w:rPr>
          <w:color w:val="231F20"/>
        </w:rPr>
        <w:t>beraber</w:t>
      </w:r>
      <w:r>
        <w:rPr>
          <w:color w:val="231F20"/>
          <w:spacing w:val="-11"/>
        </w:rPr>
        <w:t> </w:t>
      </w:r>
      <w:r>
        <w:rPr>
          <w:color w:val="231F20"/>
        </w:rPr>
        <w:t>yavaşlatıcı</w:t>
      </w:r>
      <w:r>
        <w:rPr>
          <w:color w:val="231F20"/>
          <w:spacing w:val="-11"/>
        </w:rPr>
        <w:t> </w:t>
      </w:r>
      <w:r>
        <w:rPr>
          <w:color w:val="231F20"/>
        </w:rPr>
        <w:t>bürokrasi,</w:t>
      </w:r>
      <w:r>
        <w:rPr>
          <w:color w:val="231F20"/>
          <w:spacing w:val="-11"/>
        </w:rPr>
        <w:t> </w:t>
      </w:r>
      <w:r>
        <w:rPr>
          <w:color w:val="231F20"/>
        </w:rPr>
        <w:t>karar</w:t>
      </w:r>
      <w:r>
        <w:rPr>
          <w:color w:val="231F20"/>
          <w:spacing w:val="-11"/>
        </w:rPr>
        <w:t> </w:t>
      </w:r>
      <w:r>
        <w:rPr>
          <w:color w:val="231F20"/>
        </w:rPr>
        <w:t>verme</w:t>
      </w:r>
      <w:r>
        <w:rPr>
          <w:color w:val="231F20"/>
          <w:spacing w:val="-11"/>
        </w:rPr>
        <w:t> </w:t>
      </w:r>
      <w:r>
        <w:rPr>
          <w:color w:val="231F20"/>
        </w:rPr>
        <w:t>süreçlerini</w:t>
      </w:r>
      <w:r>
        <w:rPr>
          <w:color w:val="231F20"/>
          <w:spacing w:val="-11"/>
        </w:rPr>
        <w:t> </w:t>
      </w:r>
      <w:r>
        <w:rPr>
          <w:color w:val="231F20"/>
        </w:rPr>
        <w:t>yavaşlatan iç politikalar, sorun tespit etme ve kurumsal çözüm geliştirme prosedürlerindeki yetersizlikle- rin, değişimin çalışanlar tarafından farklı yönleriyle algılanmasına neden olabileceği</w:t>
      </w:r>
      <w:r>
        <w:rPr>
          <w:color w:val="231F20"/>
          <w:spacing w:val="-19"/>
        </w:rPr>
        <w:t> </w:t>
      </w:r>
      <w:r>
        <w:rPr>
          <w:color w:val="231F20"/>
        </w:rPr>
        <w:t>değerlen- dirilmektedir. Dolayısıyla değişimin VUCA algısının merkezine oturduğu</w:t>
      </w:r>
      <w:r>
        <w:rPr>
          <w:color w:val="231F20"/>
          <w:spacing w:val="-11"/>
        </w:rPr>
        <w:t> </w:t>
      </w:r>
      <w:r>
        <w:rPr>
          <w:color w:val="231F20"/>
        </w:rPr>
        <w:t>öngörülmektedir.</w:t>
      </w:r>
    </w:p>
    <w:p>
      <w:pPr>
        <w:pStyle w:val="BodyText"/>
        <w:spacing w:line="249" w:lineRule="auto" w:before="117"/>
        <w:ind w:left="252" w:right="249" w:firstLine="567"/>
        <w:jc w:val="both"/>
      </w:pPr>
      <w:r>
        <w:rPr>
          <w:color w:val="231F20"/>
        </w:rPr>
        <w:t>Günümüzde, değişimin gereklerine uygun olarak hızlı karar süreçleri oluşturulmasına ve iş ortamının hızla gelişen gereksinimlerini karşılamaya etki eden “değişim algısına” ihtiyaç vardır.</w:t>
      </w:r>
      <w:r>
        <w:rPr>
          <w:color w:val="231F20"/>
          <w:spacing w:val="-5"/>
        </w:rPr>
        <w:t> </w:t>
      </w:r>
      <w:r>
        <w:rPr>
          <w:color w:val="231F20"/>
        </w:rPr>
        <w:t>Algılanamayan</w:t>
      </w:r>
      <w:r>
        <w:rPr>
          <w:color w:val="231F20"/>
          <w:spacing w:val="-4"/>
        </w:rPr>
        <w:t> </w:t>
      </w:r>
      <w:r>
        <w:rPr>
          <w:color w:val="231F20"/>
        </w:rPr>
        <w:t>bir</w:t>
      </w:r>
      <w:r>
        <w:rPr>
          <w:color w:val="231F20"/>
          <w:spacing w:val="-4"/>
        </w:rPr>
        <w:t> </w:t>
      </w:r>
      <w:r>
        <w:rPr>
          <w:color w:val="231F20"/>
        </w:rPr>
        <w:t>şeye</w:t>
      </w:r>
      <w:r>
        <w:rPr>
          <w:color w:val="231F20"/>
          <w:spacing w:val="-4"/>
        </w:rPr>
        <w:t> </w:t>
      </w:r>
      <w:r>
        <w:rPr>
          <w:color w:val="231F20"/>
        </w:rPr>
        <w:t>uyum</w:t>
      </w:r>
      <w:r>
        <w:rPr>
          <w:color w:val="231F20"/>
          <w:spacing w:val="-5"/>
        </w:rPr>
        <w:t> </w:t>
      </w:r>
      <w:r>
        <w:rPr>
          <w:color w:val="231F20"/>
        </w:rPr>
        <w:t>sağlamak</w:t>
      </w:r>
      <w:r>
        <w:rPr>
          <w:color w:val="231F20"/>
          <w:spacing w:val="-4"/>
        </w:rPr>
        <w:t> </w:t>
      </w:r>
      <w:r>
        <w:rPr>
          <w:color w:val="231F20"/>
        </w:rPr>
        <w:t>mümkün</w:t>
      </w:r>
      <w:r>
        <w:rPr>
          <w:color w:val="231F20"/>
          <w:spacing w:val="-4"/>
        </w:rPr>
        <w:t> </w:t>
      </w:r>
      <w:r>
        <w:rPr>
          <w:color w:val="231F20"/>
        </w:rPr>
        <w:t>olamayacağından,</w:t>
      </w:r>
      <w:r>
        <w:rPr>
          <w:color w:val="231F20"/>
          <w:spacing w:val="-4"/>
        </w:rPr>
        <w:t> </w:t>
      </w:r>
      <w:r>
        <w:rPr>
          <w:color w:val="231F20"/>
        </w:rPr>
        <w:t>elde</w:t>
      </w:r>
      <w:r>
        <w:rPr>
          <w:color w:val="231F20"/>
          <w:spacing w:val="-4"/>
        </w:rPr>
        <w:t> </w:t>
      </w:r>
      <w:r>
        <w:rPr>
          <w:color w:val="231F20"/>
        </w:rPr>
        <w:t>edilen</w:t>
      </w:r>
      <w:r>
        <w:rPr>
          <w:color w:val="231F20"/>
          <w:spacing w:val="-5"/>
        </w:rPr>
        <w:t> </w:t>
      </w:r>
      <w:r>
        <w:rPr>
          <w:color w:val="231F20"/>
        </w:rPr>
        <w:t>sonuç- lardan çalışanların değişimi algılamayı bir zorunluluk olarak gördüklerini söylemek mümkün- dür. Algılamanın merkezine oturmuş olmasının bireysel ve kurumsal zorlayıcılığa bağlı</w:t>
      </w:r>
      <w:r>
        <w:rPr>
          <w:color w:val="231F20"/>
          <w:spacing w:val="-33"/>
        </w:rPr>
        <w:t> </w:t>
      </w:r>
      <w:r>
        <w:rPr>
          <w:color w:val="231F20"/>
        </w:rPr>
        <w:t>olarak geliştiği söylenebilir. Elde edilen sonuçlardan çalışanların değişimi algılamayı bir zorunluluk olarak gördüklerini söylemek mümkündür. Bununla birlikte kullanılan ölçme aracına dayalı olarak muğlaklık kavramının belirsizlik kavramı içinde değerlendirildiği ve kavramın ayırıcı bir farkındalık yaratmadığı sonucuna ulaşılmıştır. Bu sonuçlar kullanılan ölçeğin yeniden ele alınarak</w:t>
      </w:r>
      <w:r>
        <w:rPr>
          <w:color w:val="231F20"/>
          <w:spacing w:val="-9"/>
        </w:rPr>
        <w:t> </w:t>
      </w:r>
      <w:r>
        <w:rPr>
          <w:color w:val="231F20"/>
        </w:rPr>
        <w:t>geliştirilmesi</w:t>
      </w:r>
      <w:r>
        <w:rPr>
          <w:color w:val="231F20"/>
          <w:spacing w:val="-8"/>
        </w:rPr>
        <w:t> </w:t>
      </w:r>
      <w:r>
        <w:rPr>
          <w:color w:val="231F20"/>
        </w:rPr>
        <w:t>ve</w:t>
      </w:r>
      <w:r>
        <w:rPr>
          <w:color w:val="231F20"/>
          <w:spacing w:val="-9"/>
        </w:rPr>
        <w:t> </w:t>
      </w:r>
      <w:r>
        <w:rPr>
          <w:color w:val="231F20"/>
        </w:rPr>
        <w:t>Türk</w:t>
      </w:r>
      <w:r>
        <w:rPr>
          <w:color w:val="231F20"/>
          <w:spacing w:val="-8"/>
        </w:rPr>
        <w:t> </w:t>
      </w:r>
      <w:r>
        <w:rPr>
          <w:color w:val="231F20"/>
        </w:rPr>
        <w:t>Yönetim</w:t>
      </w:r>
      <w:r>
        <w:rPr>
          <w:color w:val="231F20"/>
          <w:spacing w:val="-9"/>
        </w:rPr>
        <w:t> </w:t>
      </w:r>
      <w:r>
        <w:rPr>
          <w:color w:val="231F20"/>
        </w:rPr>
        <w:t>Kültürüne</w:t>
      </w:r>
      <w:r>
        <w:rPr>
          <w:color w:val="231F20"/>
          <w:spacing w:val="-8"/>
        </w:rPr>
        <w:t> </w:t>
      </w:r>
      <w:r>
        <w:rPr>
          <w:color w:val="231F20"/>
        </w:rPr>
        <w:t>adapte</w:t>
      </w:r>
      <w:r>
        <w:rPr>
          <w:color w:val="231F20"/>
          <w:spacing w:val="-8"/>
        </w:rPr>
        <w:t> </w:t>
      </w:r>
      <w:r>
        <w:rPr>
          <w:color w:val="231F20"/>
        </w:rPr>
        <w:t>edilerek</w:t>
      </w:r>
      <w:r>
        <w:rPr>
          <w:color w:val="231F20"/>
          <w:spacing w:val="-9"/>
        </w:rPr>
        <w:t> </w:t>
      </w:r>
      <w:r>
        <w:rPr>
          <w:color w:val="231F20"/>
        </w:rPr>
        <w:t>kavramsal</w:t>
      </w:r>
      <w:r>
        <w:rPr>
          <w:color w:val="231F20"/>
          <w:spacing w:val="-8"/>
        </w:rPr>
        <w:t> </w:t>
      </w:r>
      <w:r>
        <w:rPr>
          <w:color w:val="231F20"/>
        </w:rPr>
        <w:t>açıdan</w:t>
      </w:r>
      <w:r>
        <w:rPr>
          <w:color w:val="231F20"/>
          <w:spacing w:val="-9"/>
        </w:rPr>
        <w:t> </w:t>
      </w:r>
      <w:r>
        <w:rPr>
          <w:color w:val="231F20"/>
        </w:rPr>
        <w:t>netleştiril- mesi gerekliliğini işaret etmiştir.</w:t>
      </w:r>
    </w:p>
    <w:p>
      <w:pPr>
        <w:pStyle w:val="BodyText"/>
        <w:spacing w:line="249" w:lineRule="auto" w:before="123"/>
        <w:ind w:left="252" w:right="248" w:firstLine="567"/>
        <w:jc w:val="both"/>
      </w:pPr>
      <w:r>
        <w:rPr>
          <w:color w:val="231F20"/>
        </w:rPr>
        <w:t>Yönetsel</w:t>
      </w:r>
      <w:r>
        <w:rPr>
          <w:color w:val="231F20"/>
          <w:spacing w:val="-7"/>
        </w:rPr>
        <w:t> </w:t>
      </w:r>
      <w:r>
        <w:rPr>
          <w:color w:val="231F20"/>
        </w:rPr>
        <w:t>ve</w:t>
      </w:r>
      <w:r>
        <w:rPr>
          <w:color w:val="231F20"/>
          <w:spacing w:val="-6"/>
        </w:rPr>
        <w:t> </w:t>
      </w:r>
      <w:r>
        <w:rPr>
          <w:color w:val="231F20"/>
        </w:rPr>
        <w:t>sektörel</w:t>
      </w:r>
      <w:r>
        <w:rPr>
          <w:color w:val="231F20"/>
          <w:spacing w:val="-7"/>
        </w:rPr>
        <w:t> </w:t>
      </w:r>
      <w:r>
        <w:rPr>
          <w:color w:val="231F20"/>
        </w:rPr>
        <w:t>ortamın</w:t>
      </w:r>
      <w:r>
        <w:rPr>
          <w:color w:val="231F20"/>
          <w:spacing w:val="-6"/>
        </w:rPr>
        <w:t> </w:t>
      </w:r>
      <w:r>
        <w:rPr>
          <w:color w:val="231F20"/>
        </w:rPr>
        <w:t>ana</w:t>
      </w:r>
      <w:r>
        <w:rPr>
          <w:color w:val="231F20"/>
          <w:spacing w:val="-7"/>
        </w:rPr>
        <w:t> </w:t>
      </w:r>
      <w:r>
        <w:rPr>
          <w:color w:val="231F20"/>
        </w:rPr>
        <w:t>unsuru</w:t>
      </w:r>
      <w:r>
        <w:rPr>
          <w:color w:val="231F20"/>
          <w:spacing w:val="-6"/>
        </w:rPr>
        <w:t> </w:t>
      </w:r>
      <w:r>
        <w:rPr>
          <w:color w:val="231F20"/>
        </w:rPr>
        <w:t>olan</w:t>
      </w:r>
      <w:r>
        <w:rPr>
          <w:color w:val="231F20"/>
          <w:spacing w:val="-7"/>
        </w:rPr>
        <w:t> </w:t>
      </w:r>
      <w:r>
        <w:rPr>
          <w:color w:val="231F20"/>
        </w:rPr>
        <w:t>çalışanların</w:t>
      </w:r>
      <w:r>
        <w:rPr>
          <w:color w:val="231F20"/>
          <w:spacing w:val="-6"/>
        </w:rPr>
        <w:t> </w:t>
      </w:r>
      <w:r>
        <w:rPr>
          <w:color w:val="231F20"/>
        </w:rPr>
        <w:t>VUCA</w:t>
      </w:r>
      <w:r>
        <w:rPr>
          <w:color w:val="231F20"/>
          <w:spacing w:val="-7"/>
        </w:rPr>
        <w:t> </w:t>
      </w:r>
      <w:r>
        <w:rPr>
          <w:color w:val="231F20"/>
        </w:rPr>
        <w:t>ortamında</w:t>
      </w:r>
      <w:r>
        <w:rPr>
          <w:color w:val="231F20"/>
          <w:spacing w:val="-6"/>
        </w:rPr>
        <w:t> </w:t>
      </w:r>
      <w:r>
        <w:rPr>
          <w:color w:val="231F20"/>
        </w:rPr>
        <w:t>yeni</w:t>
      </w:r>
      <w:r>
        <w:rPr>
          <w:color w:val="231F20"/>
          <w:spacing w:val="-7"/>
        </w:rPr>
        <w:t> </w:t>
      </w:r>
      <w:r>
        <w:rPr>
          <w:color w:val="231F20"/>
        </w:rPr>
        <w:t>yönet- sel becerilere sahip liderlere ihtiyaç duyduğuna vurgu yapan araştırma probleminden</w:t>
      </w:r>
      <w:r>
        <w:rPr>
          <w:color w:val="231F20"/>
          <w:spacing w:val="-36"/>
        </w:rPr>
        <w:t> </w:t>
      </w:r>
      <w:r>
        <w:rPr>
          <w:color w:val="231F20"/>
        </w:rPr>
        <w:t>hareketle elde edilen bulgulardan; çalışanların çevik liderlik becerisi algısının yüksek düzeyde olduğu görülmüştür. Çevikliğin hızlı müdahale gerektiren müşteri ilişkilerindeki değişim yönetimi gibi ve yeni pazarların keşfi gibi etkileşimlerde faydası olabileceği düşüncesi, çalışanların çevik liderlik becerisi algılarının güçlenmesine neden olduğu değerlendirilmektedir. Buradaki kilit kavramın liderlik algısını şekillendirici ve dönüştürücü mahiyetteki VUCA ortamındaki “değişkenlik” olduğu göz önünde bulundurulduğunda, çevik liderliğin şirkete ait öngörülemez durumlara ilişkin tepki yeteneğini geliştirebileceği düşünülmektedir. Yapılan araştırmalarda VUCA’ ya uygun özelliklerini kapsayan ve iş dünyasının ihtiyaç duyduğu esnek çözümleri bünyesinde barındıran yeni liderlik anlayışının çevik liderlik olduğunu göstermektedir. Değiş- kenlik iş dünyasında hızlı adapte olmayı ve çevik kararlar almayı zorunlu hale getirmiştir (Akartek, 2020). Bennet &amp; Lemoine (2014, 2020) değişkenlikle başa çıkmanın anahtarının çeviklik olması gerektiğine vurgu yapmıştır. Bu kapsamda, değişkenlik algısı yüksek düzeyde olan</w:t>
      </w:r>
      <w:r>
        <w:rPr>
          <w:color w:val="231F20"/>
          <w:spacing w:val="-9"/>
        </w:rPr>
        <w:t> </w:t>
      </w:r>
      <w:r>
        <w:rPr>
          <w:color w:val="231F20"/>
        </w:rPr>
        <w:t>çalışanların</w:t>
      </w:r>
      <w:r>
        <w:rPr>
          <w:color w:val="231F20"/>
          <w:spacing w:val="-9"/>
        </w:rPr>
        <w:t> </w:t>
      </w:r>
      <w:r>
        <w:rPr>
          <w:color w:val="231F20"/>
        </w:rPr>
        <w:t>çevik</w:t>
      </w:r>
      <w:r>
        <w:rPr>
          <w:color w:val="231F20"/>
          <w:spacing w:val="-8"/>
        </w:rPr>
        <w:t> </w:t>
      </w:r>
      <w:r>
        <w:rPr>
          <w:color w:val="231F20"/>
        </w:rPr>
        <w:t>liderlik</w:t>
      </w:r>
      <w:r>
        <w:rPr>
          <w:color w:val="231F20"/>
          <w:spacing w:val="-9"/>
        </w:rPr>
        <w:t> </w:t>
      </w:r>
      <w:r>
        <w:rPr>
          <w:color w:val="231F20"/>
        </w:rPr>
        <w:t>becerisi</w:t>
      </w:r>
      <w:r>
        <w:rPr>
          <w:color w:val="231F20"/>
          <w:spacing w:val="-9"/>
        </w:rPr>
        <w:t> </w:t>
      </w:r>
      <w:r>
        <w:rPr>
          <w:color w:val="231F20"/>
        </w:rPr>
        <w:t>algısının</w:t>
      </w:r>
      <w:r>
        <w:rPr>
          <w:color w:val="231F20"/>
          <w:spacing w:val="-9"/>
        </w:rPr>
        <w:t> </w:t>
      </w:r>
      <w:r>
        <w:rPr>
          <w:color w:val="231F20"/>
        </w:rPr>
        <w:t>yüksek</w:t>
      </w:r>
      <w:r>
        <w:rPr>
          <w:color w:val="231F20"/>
          <w:spacing w:val="-8"/>
        </w:rPr>
        <w:t> </w:t>
      </w:r>
      <w:r>
        <w:rPr>
          <w:color w:val="231F20"/>
        </w:rPr>
        <w:t>düzeyde</w:t>
      </w:r>
      <w:r>
        <w:rPr>
          <w:color w:val="231F20"/>
          <w:spacing w:val="-9"/>
        </w:rPr>
        <w:t> </w:t>
      </w:r>
      <w:r>
        <w:rPr>
          <w:color w:val="231F20"/>
        </w:rPr>
        <w:t>olması</w:t>
      </w:r>
      <w:r>
        <w:rPr>
          <w:color w:val="231F20"/>
          <w:spacing w:val="-9"/>
        </w:rPr>
        <w:t> </w:t>
      </w:r>
      <w:r>
        <w:rPr>
          <w:color w:val="231F20"/>
        </w:rPr>
        <w:t>araştırmacıların</w:t>
      </w:r>
      <w:r>
        <w:rPr>
          <w:color w:val="231F20"/>
          <w:spacing w:val="-9"/>
        </w:rPr>
        <w:t> </w:t>
      </w:r>
      <w:r>
        <w:rPr>
          <w:color w:val="231F20"/>
        </w:rPr>
        <w:t>görüş- leriyle tutarlılık göstermektedir.</w:t>
      </w:r>
    </w:p>
    <w:p>
      <w:pPr>
        <w:pStyle w:val="BodyText"/>
        <w:spacing w:line="249" w:lineRule="auto" w:before="126"/>
        <w:ind w:left="252" w:right="250" w:firstLine="605"/>
        <w:jc w:val="both"/>
      </w:pPr>
      <w:r>
        <w:rPr>
          <w:color w:val="231F20"/>
        </w:rPr>
        <w:t>Çevik</w:t>
      </w:r>
      <w:r>
        <w:rPr>
          <w:color w:val="231F20"/>
          <w:spacing w:val="-13"/>
        </w:rPr>
        <w:t> </w:t>
      </w:r>
      <w:r>
        <w:rPr>
          <w:color w:val="231F20"/>
        </w:rPr>
        <w:t>liderlik</w:t>
      </w:r>
      <w:r>
        <w:rPr>
          <w:color w:val="231F20"/>
          <w:spacing w:val="-13"/>
        </w:rPr>
        <w:t> </w:t>
      </w:r>
      <w:r>
        <w:rPr>
          <w:color w:val="231F20"/>
        </w:rPr>
        <w:t>becerisi</w:t>
      </w:r>
      <w:r>
        <w:rPr>
          <w:color w:val="231F20"/>
          <w:spacing w:val="-13"/>
        </w:rPr>
        <w:t> </w:t>
      </w:r>
      <w:r>
        <w:rPr>
          <w:color w:val="231F20"/>
        </w:rPr>
        <w:t>algısı</w:t>
      </w:r>
      <w:r>
        <w:rPr>
          <w:color w:val="231F20"/>
          <w:spacing w:val="-12"/>
        </w:rPr>
        <w:t> </w:t>
      </w:r>
      <w:r>
        <w:rPr>
          <w:color w:val="231F20"/>
        </w:rPr>
        <w:t>geliştirilen</w:t>
      </w:r>
      <w:r>
        <w:rPr>
          <w:color w:val="231F20"/>
          <w:spacing w:val="-13"/>
        </w:rPr>
        <w:t> </w:t>
      </w:r>
      <w:r>
        <w:rPr>
          <w:color w:val="231F20"/>
        </w:rPr>
        <w:t>ölçme</w:t>
      </w:r>
      <w:r>
        <w:rPr>
          <w:color w:val="231F20"/>
          <w:spacing w:val="-13"/>
        </w:rPr>
        <w:t> </w:t>
      </w:r>
      <w:r>
        <w:rPr>
          <w:color w:val="231F20"/>
        </w:rPr>
        <w:t>aracına</w:t>
      </w:r>
      <w:r>
        <w:rPr>
          <w:color w:val="231F20"/>
          <w:spacing w:val="-12"/>
        </w:rPr>
        <w:t> </w:t>
      </w:r>
      <w:r>
        <w:rPr>
          <w:color w:val="231F20"/>
        </w:rPr>
        <w:t>dayalı</w:t>
      </w:r>
      <w:r>
        <w:rPr>
          <w:color w:val="231F20"/>
          <w:spacing w:val="-13"/>
        </w:rPr>
        <w:t> </w:t>
      </w:r>
      <w:r>
        <w:rPr>
          <w:color w:val="231F20"/>
        </w:rPr>
        <w:t>olarak</w:t>
      </w:r>
      <w:r>
        <w:rPr>
          <w:color w:val="231F20"/>
          <w:spacing w:val="-13"/>
        </w:rPr>
        <w:t> </w:t>
      </w:r>
      <w:r>
        <w:rPr>
          <w:color w:val="231F20"/>
        </w:rPr>
        <w:t>planlama</w:t>
      </w:r>
      <w:r>
        <w:rPr>
          <w:color w:val="231F20"/>
          <w:spacing w:val="-12"/>
        </w:rPr>
        <w:t> </w:t>
      </w:r>
      <w:r>
        <w:rPr>
          <w:color w:val="231F20"/>
        </w:rPr>
        <w:t>ve</w:t>
      </w:r>
      <w:r>
        <w:rPr>
          <w:color w:val="231F20"/>
          <w:spacing w:val="-13"/>
        </w:rPr>
        <w:t> </w:t>
      </w:r>
      <w:r>
        <w:rPr>
          <w:color w:val="231F20"/>
        </w:rPr>
        <w:t>yönelt- me boyutlarında incelendiğinde, planlamadaki algı yöneltmeye göre daha yüksek düzeydedir. Bu durumun yüksek değişim algısının meydana getireceği istikrarsızlık durumunda </w:t>
      </w:r>
      <w:r>
        <w:rPr>
          <w:color w:val="231F20"/>
          <w:spacing w:val="-3"/>
        </w:rPr>
        <w:t>çalışanla- </w:t>
      </w:r>
      <w:r>
        <w:rPr>
          <w:color w:val="231F20"/>
        </w:rPr>
        <w:t>rın planlama süreçlerinde çevik liderlere ihtiyaç duymalarından kaynaklı olabileceği</w:t>
      </w:r>
      <w:r>
        <w:rPr>
          <w:color w:val="231F20"/>
          <w:spacing w:val="-21"/>
        </w:rPr>
        <w:t> </w:t>
      </w:r>
      <w:r>
        <w:rPr>
          <w:color w:val="231F20"/>
        </w:rPr>
        <w:t>değerlen- dirilmektedir.</w:t>
      </w:r>
      <w:r>
        <w:rPr>
          <w:color w:val="231F20"/>
          <w:spacing w:val="-4"/>
        </w:rPr>
        <w:t> </w:t>
      </w:r>
      <w:r>
        <w:rPr>
          <w:color w:val="231F20"/>
        </w:rPr>
        <w:t>Planlama</w:t>
      </w:r>
      <w:r>
        <w:rPr>
          <w:color w:val="231F20"/>
          <w:spacing w:val="-4"/>
        </w:rPr>
        <w:t> </w:t>
      </w:r>
      <w:r>
        <w:rPr>
          <w:color w:val="231F20"/>
        </w:rPr>
        <w:t>hedeflenen</w:t>
      </w:r>
      <w:r>
        <w:rPr>
          <w:color w:val="231F20"/>
          <w:spacing w:val="-4"/>
        </w:rPr>
        <w:t> </w:t>
      </w:r>
      <w:r>
        <w:rPr>
          <w:color w:val="231F20"/>
        </w:rPr>
        <w:t>sonuca</w:t>
      </w:r>
      <w:r>
        <w:rPr>
          <w:color w:val="231F20"/>
          <w:spacing w:val="-4"/>
        </w:rPr>
        <w:t> </w:t>
      </w:r>
      <w:r>
        <w:rPr>
          <w:color w:val="231F20"/>
        </w:rPr>
        <w:t>varmak</w:t>
      </w:r>
      <w:r>
        <w:rPr>
          <w:color w:val="231F20"/>
          <w:spacing w:val="-4"/>
        </w:rPr>
        <w:t> </w:t>
      </w:r>
      <w:r>
        <w:rPr>
          <w:color w:val="231F20"/>
        </w:rPr>
        <w:t>için</w:t>
      </w:r>
      <w:r>
        <w:rPr>
          <w:color w:val="231F20"/>
          <w:spacing w:val="-4"/>
        </w:rPr>
        <w:t> </w:t>
      </w:r>
      <w:r>
        <w:rPr>
          <w:color w:val="231F20"/>
        </w:rPr>
        <w:t>ortaya</w:t>
      </w:r>
      <w:r>
        <w:rPr>
          <w:color w:val="231F20"/>
          <w:spacing w:val="-4"/>
        </w:rPr>
        <w:t> </w:t>
      </w:r>
      <w:r>
        <w:rPr>
          <w:color w:val="231F20"/>
        </w:rPr>
        <w:t>konulan</w:t>
      </w:r>
      <w:r>
        <w:rPr>
          <w:color w:val="231F20"/>
          <w:spacing w:val="-4"/>
        </w:rPr>
        <w:t> </w:t>
      </w:r>
      <w:r>
        <w:rPr>
          <w:color w:val="231F20"/>
        </w:rPr>
        <w:t>bir</w:t>
      </w:r>
      <w:r>
        <w:rPr>
          <w:color w:val="231F20"/>
          <w:spacing w:val="-4"/>
        </w:rPr>
        <w:t> </w:t>
      </w:r>
      <w:r>
        <w:rPr>
          <w:color w:val="231F20"/>
        </w:rPr>
        <w:t>çeşit</w:t>
      </w:r>
      <w:r>
        <w:rPr>
          <w:color w:val="231F20"/>
          <w:spacing w:val="-4"/>
        </w:rPr>
        <w:t> </w:t>
      </w:r>
      <w:r>
        <w:rPr>
          <w:color w:val="231F20"/>
        </w:rPr>
        <w:t>yol</w:t>
      </w:r>
      <w:r>
        <w:rPr>
          <w:color w:val="231F20"/>
          <w:spacing w:val="-4"/>
        </w:rPr>
        <w:t> </w:t>
      </w:r>
      <w:r>
        <w:rPr>
          <w:color w:val="231F20"/>
        </w:rPr>
        <w:t>haritasıdır. Bu sonuca ulaşmak için kaynakların organizasyonu, düzenlenmesi ve haritalandırılması anla- mına gelmektedir (Sarıçam, 2017). Ani değişimlerin beraberinde getireceği istikrarsızlık ve öngörülemezlik durumlarında çalışanların hedeflenen sonuca daha hızlı ulaşmayı sağlayacak bir yol haritası oluşturabilen liderlere ihtiyaç duyduğu ifade edilebilir.</w:t>
      </w:r>
    </w:p>
    <w:p>
      <w:pPr>
        <w:pStyle w:val="BodyText"/>
        <w:spacing w:line="249" w:lineRule="auto" w:before="121"/>
        <w:ind w:left="252" w:right="250" w:firstLine="567"/>
        <w:jc w:val="both"/>
      </w:pPr>
      <w:r>
        <w:rPr>
          <w:color w:val="231F20"/>
        </w:rPr>
        <w:t>Son olarak, VUCA algısının çevik liderlik becerisi algısı üzerindeki etkisinin araştırıl- dığı bu araştırmada, değişkenlik algısının çevik liderlik becerisi algısı üzerinde pozitif etki-</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BodyText"/>
        <w:spacing w:line="249" w:lineRule="auto" w:before="1"/>
        <w:ind w:left="252" w:right="249"/>
        <w:jc w:val="both"/>
      </w:pPr>
      <w:r>
        <w:rPr>
          <w:color w:val="231F20"/>
        </w:rPr>
        <w:t>si olduğu görülmektedir. Bu doğrultuda, çalışanların değişkenlik algısı arttıkça çevik liderlik becerisi</w:t>
      </w:r>
      <w:r>
        <w:rPr>
          <w:color w:val="231F20"/>
          <w:spacing w:val="-7"/>
        </w:rPr>
        <w:t> </w:t>
      </w:r>
      <w:r>
        <w:rPr>
          <w:color w:val="231F20"/>
        </w:rPr>
        <w:t>algısının</w:t>
      </w:r>
      <w:r>
        <w:rPr>
          <w:color w:val="231F20"/>
          <w:spacing w:val="-6"/>
        </w:rPr>
        <w:t> </w:t>
      </w:r>
      <w:r>
        <w:rPr>
          <w:color w:val="231F20"/>
        </w:rPr>
        <w:t>arttığı</w:t>
      </w:r>
      <w:r>
        <w:rPr>
          <w:color w:val="231F20"/>
          <w:spacing w:val="-7"/>
        </w:rPr>
        <w:t> </w:t>
      </w:r>
      <w:r>
        <w:rPr>
          <w:color w:val="231F20"/>
        </w:rPr>
        <w:t>ifade</w:t>
      </w:r>
      <w:r>
        <w:rPr>
          <w:color w:val="231F20"/>
          <w:spacing w:val="-6"/>
        </w:rPr>
        <w:t> </w:t>
      </w:r>
      <w:r>
        <w:rPr>
          <w:color w:val="231F20"/>
        </w:rPr>
        <w:t>edilebilmektedir.</w:t>
      </w:r>
      <w:r>
        <w:rPr>
          <w:color w:val="231F20"/>
          <w:spacing w:val="-6"/>
        </w:rPr>
        <w:t> </w:t>
      </w:r>
      <w:r>
        <w:rPr>
          <w:color w:val="231F20"/>
        </w:rPr>
        <w:t>Bu</w:t>
      </w:r>
      <w:r>
        <w:rPr>
          <w:color w:val="231F20"/>
          <w:spacing w:val="-7"/>
        </w:rPr>
        <w:t> </w:t>
      </w:r>
      <w:r>
        <w:rPr>
          <w:color w:val="231F20"/>
        </w:rPr>
        <w:t>sonuç</w:t>
      </w:r>
      <w:r>
        <w:rPr>
          <w:color w:val="231F20"/>
          <w:spacing w:val="-6"/>
        </w:rPr>
        <w:t> </w:t>
      </w:r>
      <w:r>
        <w:rPr>
          <w:color w:val="231F20"/>
        </w:rPr>
        <w:t>alan</w:t>
      </w:r>
      <w:r>
        <w:rPr>
          <w:color w:val="231F20"/>
          <w:spacing w:val="-7"/>
        </w:rPr>
        <w:t> </w:t>
      </w:r>
      <w:r>
        <w:rPr>
          <w:color w:val="231F20"/>
        </w:rPr>
        <w:t>yazındaki</w:t>
      </w:r>
      <w:r>
        <w:rPr>
          <w:color w:val="231F20"/>
          <w:spacing w:val="-6"/>
        </w:rPr>
        <w:t> </w:t>
      </w:r>
      <w:r>
        <w:rPr>
          <w:color w:val="231F20"/>
        </w:rPr>
        <w:t>çeşitli</w:t>
      </w:r>
      <w:r>
        <w:rPr>
          <w:color w:val="231F20"/>
          <w:spacing w:val="-6"/>
        </w:rPr>
        <w:t> </w:t>
      </w:r>
      <w:r>
        <w:rPr>
          <w:color w:val="231F20"/>
        </w:rPr>
        <w:t>araştırmacıların (Johansen &amp; Euchner, 2013; Bennett &amp; Lemoine, 2014; Saleh &amp; Watson, 2017; Richardson, 2022) görüşlerini destekler niteliktedir. Bu kapsamda, çalışanların VUCA dünyası içerisinde- ki uyum kabiliyetinin lider tabanlı olarak yürütülecek değişim algısı yönetimi ile paralel ola- rak ilerleyeceği değerlendirilmektedir. Değişimin karşısında örgütlerin çevik kabiliyetlerinin geliştirilmesine</w:t>
      </w:r>
      <w:r>
        <w:rPr>
          <w:color w:val="231F20"/>
          <w:spacing w:val="-12"/>
        </w:rPr>
        <w:t> </w:t>
      </w:r>
      <w:r>
        <w:rPr>
          <w:color w:val="231F20"/>
        </w:rPr>
        <w:t>dönük</w:t>
      </w:r>
      <w:r>
        <w:rPr>
          <w:color w:val="231F20"/>
          <w:spacing w:val="-10"/>
        </w:rPr>
        <w:t> </w:t>
      </w:r>
      <w:r>
        <w:rPr>
          <w:color w:val="231F20"/>
        </w:rPr>
        <w:t>olarak,</w:t>
      </w:r>
      <w:r>
        <w:rPr>
          <w:color w:val="231F20"/>
          <w:spacing w:val="-11"/>
        </w:rPr>
        <w:t> </w:t>
      </w:r>
      <w:r>
        <w:rPr>
          <w:color w:val="231F20"/>
        </w:rPr>
        <w:t>başta</w:t>
      </w:r>
      <w:r>
        <w:rPr>
          <w:color w:val="231F20"/>
          <w:spacing w:val="-10"/>
        </w:rPr>
        <w:t> </w:t>
      </w:r>
      <w:r>
        <w:rPr>
          <w:color w:val="231F20"/>
        </w:rPr>
        <w:t>liderlik</w:t>
      </w:r>
      <w:r>
        <w:rPr>
          <w:color w:val="231F20"/>
          <w:spacing w:val="-11"/>
        </w:rPr>
        <w:t> </w:t>
      </w:r>
      <w:r>
        <w:rPr>
          <w:color w:val="231F20"/>
        </w:rPr>
        <w:t>olmak</w:t>
      </w:r>
      <w:r>
        <w:rPr>
          <w:color w:val="231F20"/>
          <w:spacing w:val="-10"/>
        </w:rPr>
        <w:t> </w:t>
      </w:r>
      <w:r>
        <w:rPr>
          <w:color w:val="231F20"/>
        </w:rPr>
        <w:t>üzere</w:t>
      </w:r>
      <w:r>
        <w:rPr>
          <w:color w:val="231F20"/>
          <w:spacing w:val="-10"/>
        </w:rPr>
        <w:t> </w:t>
      </w:r>
      <w:r>
        <w:rPr>
          <w:color w:val="231F20"/>
        </w:rPr>
        <w:t>örgütsel</w:t>
      </w:r>
      <w:r>
        <w:rPr>
          <w:color w:val="231F20"/>
          <w:spacing w:val="-11"/>
        </w:rPr>
        <w:t> </w:t>
      </w:r>
      <w:r>
        <w:rPr>
          <w:color w:val="231F20"/>
        </w:rPr>
        <w:t>yeteneklerin</w:t>
      </w:r>
      <w:r>
        <w:rPr>
          <w:color w:val="231F20"/>
          <w:spacing w:val="-11"/>
        </w:rPr>
        <w:t> </w:t>
      </w:r>
      <w:r>
        <w:rPr>
          <w:color w:val="231F20"/>
        </w:rPr>
        <w:t>geliştirilmesinde karar verme prosedürlerinin daha esnek hale getirilmesi ve kurumsal çözüm üretme</w:t>
      </w:r>
      <w:r>
        <w:rPr>
          <w:color w:val="231F20"/>
          <w:spacing w:val="-24"/>
        </w:rPr>
        <w:t> </w:t>
      </w:r>
      <w:r>
        <w:rPr>
          <w:color w:val="231F20"/>
        </w:rPr>
        <w:t>kabiliyeti- nin hız tabanlı olarak geliştirilmesi gerekmektedir.</w:t>
      </w:r>
    </w:p>
    <w:p>
      <w:pPr>
        <w:pStyle w:val="BodyText"/>
        <w:spacing w:line="249" w:lineRule="auto" w:before="120"/>
        <w:ind w:left="252" w:right="248" w:firstLine="567"/>
        <w:jc w:val="both"/>
      </w:pPr>
      <w:r>
        <w:rPr>
          <w:color w:val="231F20"/>
        </w:rPr>
        <w:t>Karar verme mekanizmaları yanında iş sistemleri, çalışma alışkanlıkları ile 7/24 çev- rimiçi çalışma ve etkileşim ortamlarında, çalışanların liderlik ihtiyaçları ve inovasyon yak- laşımları arasında çevik dinamiklerin rolü yeniden tanımlanarak, konvansiyonel yöntemleri dönüştürücü örgütsel yaklaşımlar benimsenmelidir. Çevik dönüşümün asgari şartları liderlik tabanlı olarak ele alınmalıdır. Örgütsel öğrenme, müşteri deneyimi ve çalışan deneyimi üçle- mesinde çevik bir örgüt kültürü yaklaşımını hakim kılıcı bir yönetim paradigmasının, örgütle- rin öğrenme kabiliyetiyle paralel olduğu göz ardı edilmemelidir. Bu kapsamda çevik liderliğin bir öğrenme sürecinin parçası olduğu gerçeğinden hareketle süreçlere odaklanılmalı, amaçlar algısal düzlemde şekillendirilmelidir. Değişime ve belirsizliğe yanıt veren bir öğrenme para- metresi de ortaya konularak, örgütün birim zamanda ne kadar öğrenebildiği ve çevik liderliğin bu kabiliyete etkisi kullanılan teknolojik araçların özellikleriyle birlikte sorgulanmalıdır.</w:t>
      </w:r>
    </w:p>
    <w:p>
      <w:pPr>
        <w:pStyle w:val="BodyText"/>
        <w:spacing w:before="6"/>
      </w:pPr>
    </w:p>
    <w:p>
      <w:pPr>
        <w:pStyle w:val="Heading1"/>
      </w:pPr>
      <w:r>
        <w:rPr>
          <w:color w:val="034694"/>
        </w:rPr>
        <w:t>Katkı Oranı Beyanı</w:t>
      </w:r>
    </w:p>
    <w:p>
      <w:pPr>
        <w:pStyle w:val="BodyText"/>
        <w:spacing w:before="124"/>
        <w:ind w:left="819"/>
      </w:pPr>
      <w:r>
        <w:rPr>
          <w:color w:val="231F20"/>
        </w:rPr>
        <w:t>Makale yazarları çalışmaya eşit oranda katkıda bulunmuşlardır.</w:t>
      </w:r>
    </w:p>
    <w:p>
      <w:pPr>
        <w:pStyle w:val="BodyText"/>
        <w:spacing w:before="6"/>
      </w:pPr>
    </w:p>
    <w:p>
      <w:pPr>
        <w:pStyle w:val="Heading1"/>
      </w:pPr>
      <w:r>
        <w:rPr>
          <w:color w:val="034694"/>
        </w:rPr>
        <w:t>Çıkar Çatışması Beyanı</w:t>
      </w:r>
    </w:p>
    <w:p>
      <w:pPr>
        <w:pStyle w:val="BodyText"/>
        <w:spacing w:line="249" w:lineRule="auto" w:before="124"/>
        <w:ind w:left="252" w:right="250" w:firstLine="567"/>
        <w:jc w:val="both"/>
      </w:pPr>
      <w:r>
        <w:rPr>
          <w:color w:val="231F20"/>
        </w:rPr>
        <w:t>Çalışmanın yazarları arasında sonuçları veya yorumları etkileyebilecek herhangi bir maddi veya diğer asli çıkar çatışması bulunmamaktadır.</w:t>
      </w:r>
    </w:p>
    <w:p>
      <w:pPr>
        <w:pStyle w:val="BodyText"/>
      </w:pPr>
    </w:p>
    <w:p>
      <w:pPr>
        <w:pStyle w:val="BodyText"/>
        <w:spacing w:before="8"/>
      </w:pPr>
    </w:p>
    <w:p>
      <w:pPr>
        <w:pStyle w:val="Heading1"/>
      </w:pPr>
      <w:r>
        <w:rPr>
          <w:color w:val="034694"/>
        </w:rPr>
        <w:t>Kaynakça</w:t>
      </w:r>
    </w:p>
    <w:p>
      <w:pPr>
        <w:spacing w:line="254" w:lineRule="auto" w:before="122"/>
        <w:ind w:left="819" w:right="29" w:hanging="567"/>
        <w:jc w:val="left"/>
        <w:rPr>
          <w:sz w:val="18"/>
        </w:rPr>
      </w:pPr>
      <w:r>
        <w:rPr>
          <w:color w:val="231F20"/>
          <w:sz w:val="18"/>
        </w:rPr>
        <w:t>Abbasi,</w:t>
      </w:r>
      <w:r>
        <w:rPr>
          <w:color w:val="231F20"/>
          <w:spacing w:val="-8"/>
          <w:sz w:val="18"/>
        </w:rPr>
        <w:t> </w:t>
      </w:r>
      <w:r>
        <w:rPr>
          <w:color w:val="231F20"/>
          <w:sz w:val="18"/>
        </w:rPr>
        <w:t>S.</w:t>
      </w:r>
      <w:r>
        <w:rPr>
          <w:color w:val="231F20"/>
          <w:spacing w:val="-8"/>
          <w:sz w:val="18"/>
        </w:rPr>
        <w:t> </w:t>
      </w:r>
      <w:r>
        <w:rPr>
          <w:color w:val="231F20"/>
          <w:sz w:val="18"/>
        </w:rPr>
        <w:t>&amp;</w:t>
      </w:r>
      <w:r>
        <w:rPr>
          <w:color w:val="231F20"/>
          <w:spacing w:val="-8"/>
          <w:sz w:val="18"/>
        </w:rPr>
        <w:t> </w:t>
      </w:r>
      <w:r>
        <w:rPr>
          <w:color w:val="231F20"/>
          <w:sz w:val="18"/>
        </w:rPr>
        <w:t>Ruf,</w:t>
      </w:r>
      <w:r>
        <w:rPr>
          <w:color w:val="231F20"/>
          <w:spacing w:val="-7"/>
          <w:sz w:val="18"/>
        </w:rPr>
        <w:t> </w:t>
      </w:r>
      <w:r>
        <w:rPr>
          <w:color w:val="231F20"/>
          <w:sz w:val="18"/>
        </w:rPr>
        <w:t>T.</w:t>
      </w:r>
      <w:r>
        <w:rPr>
          <w:color w:val="231F20"/>
          <w:spacing w:val="-8"/>
          <w:sz w:val="18"/>
        </w:rPr>
        <w:t> </w:t>
      </w:r>
      <w:r>
        <w:rPr>
          <w:color w:val="231F20"/>
          <w:sz w:val="18"/>
        </w:rPr>
        <w:t>(2020).</w:t>
      </w:r>
      <w:r>
        <w:rPr>
          <w:color w:val="231F20"/>
          <w:spacing w:val="-8"/>
          <w:sz w:val="18"/>
        </w:rPr>
        <w:t> </w:t>
      </w:r>
      <w:r>
        <w:rPr>
          <w:color w:val="231F20"/>
          <w:sz w:val="18"/>
        </w:rPr>
        <w:t>Reduction</w:t>
      </w:r>
      <w:r>
        <w:rPr>
          <w:color w:val="231F20"/>
          <w:spacing w:val="-7"/>
          <w:sz w:val="18"/>
        </w:rPr>
        <w:t> </w:t>
      </w:r>
      <w:r>
        <w:rPr>
          <w:color w:val="231F20"/>
          <w:sz w:val="18"/>
        </w:rPr>
        <w:t>of</w:t>
      </w:r>
      <w:r>
        <w:rPr>
          <w:color w:val="231F20"/>
          <w:spacing w:val="-8"/>
          <w:sz w:val="18"/>
        </w:rPr>
        <w:t> </w:t>
      </w:r>
      <w:r>
        <w:rPr>
          <w:color w:val="231F20"/>
          <w:sz w:val="18"/>
        </w:rPr>
        <w:t>the</w:t>
      </w:r>
      <w:r>
        <w:rPr>
          <w:color w:val="231F20"/>
          <w:spacing w:val="-8"/>
          <w:sz w:val="18"/>
        </w:rPr>
        <w:t> </w:t>
      </w:r>
      <w:r>
        <w:rPr>
          <w:color w:val="231F20"/>
          <w:sz w:val="18"/>
        </w:rPr>
        <w:t>fluctuation</w:t>
      </w:r>
      <w:r>
        <w:rPr>
          <w:color w:val="231F20"/>
          <w:spacing w:val="-7"/>
          <w:sz w:val="18"/>
        </w:rPr>
        <w:t> </w:t>
      </w:r>
      <w:r>
        <w:rPr>
          <w:color w:val="231F20"/>
          <w:sz w:val="18"/>
        </w:rPr>
        <w:t>rate</w:t>
      </w:r>
      <w:r>
        <w:rPr>
          <w:color w:val="231F20"/>
          <w:spacing w:val="-8"/>
          <w:sz w:val="18"/>
        </w:rPr>
        <w:t> </w:t>
      </w:r>
      <w:r>
        <w:rPr>
          <w:color w:val="231F20"/>
          <w:sz w:val="18"/>
        </w:rPr>
        <w:t>in</w:t>
      </w:r>
      <w:r>
        <w:rPr>
          <w:color w:val="231F20"/>
          <w:spacing w:val="-8"/>
          <w:sz w:val="18"/>
        </w:rPr>
        <w:t> </w:t>
      </w:r>
      <w:r>
        <w:rPr>
          <w:color w:val="231F20"/>
          <w:sz w:val="18"/>
        </w:rPr>
        <w:t>multi-project</w:t>
      </w:r>
      <w:r>
        <w:rPr>
          <w:color w:val="231F20"/>
          <w:spacing w:val="-7"/>
          <w:sz w:val="18"/>
        </w:rPr>
        <w:t> </w:t>
      </w:r>
      <w:r>
        <w:rPr>
          <w:color w:val="231F20"/>
          <w:sz w:val="18"/>
        </w:rPr>
        <w:t>organizations</w:t>
      </w:r>
      <w:r>
        <w:rPr>
          <w:color w:val="231F20"/>
          <w:spacing w:val="-8"/>
          <w:sz w:val="18"/>
        </w:rPr>
        <w:t> </w:t>
      </w:r>
      <w:r>
        <w:rPr>
          <w:color w:val="231F20"/>
          <w:sz w:val="18"/>
        </w:rPr>
        <w:t>through</w:t>
      </w:r>
      <w:r>
        <w:rPr>
          <w:color w:val="231F20"/>
          <w:spacing w:val="-8"/>
          <w:sz w:val="18"/>
        </w:rPr>
        <w:t> </w:t>
      </w:r>
      <w:r>
        <w:rPr>
          <w:color w:val="231F20"/>
          <w:sz w:val="18"/>
        </w:rPr>
        <w:t>agile leadership.</w:t>
      </w:r>
      <w:r>
        <w:rPr>
          <w:color w:val="231F20"/>
          <w:spacing w:val="-26"/>
          <w:sz w:val="18"/>
        </w:rPr>
        <w:t> </w:t>
      </w:r>
      <w:r>
        <w:rPr>
          <w:color w:val="231F20"/>
          <w:sz w:val="18"/>
        </w:rPr>
        <w:t>Management</w:t>
      </w:r>
      <w:r>
        <w:rPr>
          <w:color w:val="231F20"/>
          <w:spacing w:val="-25"/>
          <w:sz w:val="18"/>
        </w:rPr>
        <w:t> </w:t>
      </w:r>
      <w:r>
        <w:rPr>
          <w:color w:val="231F20"/>
          <w:sz w:val="18"/>
        </w:rPr>
        <w:t>Studies,</w:t>
      </w:r>
      <w:r>
        <w:rPr>
          <w:color w:val="231F20"/>
          <w:spacing w:val="-26"/>
          <w:sz w:val="18"/>
        </w:rPr>
        <w:t> </w:t>
      </w:r>
      <w:r>
        <w:rPr>
          <w:color w:val="231F20"/>
          <w:sz w:val="18"/>
        </w:rPr>
        <w:t>8(2),</w:t>
      </w:r>
      <w:r>
        <w:rPr>
          <w:color w:val="231F20"/>
          <w:spacing w:val="-25"/>
          <w:sz w:val="18"/>
        </w:rPr>
        <w:t> </w:t>
      </w:r>
      <w:r>
        <w:rPr>
          <w:color w:val="231F20"/>
          <w:sz w:val="18"/>
        </w:rPr>
        <w:t>128-133.</w:t>
      </w:r>
      <w:r>
        <w:rPr>
          <w:color w:val="231F20"/>
          <w:spacing w:val="-24"/>
          <w:sz w:val="18"/>
        </w:rPr>
        <w:t> </w:t>
      </w:r>
      <w:hyperlink r:id="rId24">
        <w:r>
          <w:rPr>
            <w:color w:val="231F20"/>
            <w:sz w:val="18"/>
          </w:rPr>
          <w:t>https://doi.org/10.17265/2328-2185/2020.02.005</w:t>
        </w:r>
      </w:hyperlink>
      <w:r>
        <w:rPr>
          <w:color w:val="231F20"/>
          <w:sz w:val="18"/>
        </w:rPr>
        <w:t>.</w:t>
      </w:r>
    </w:p>
    <w:p>
      <w:pPr>
        <w:spacing w:line="321" w:lineRule="auto" w:before="58"/>
        <w:ind w:left="252" w:right="255" w:firstLine="0"/>
        <w:jc w:val="left"/>
        <w:rPr>
          <w:sz w:val="18"/>
        </w:rPr>
      </w:pPr>
      <w:r>
        <w:rPr>
          <w:color w:val="231F20"/>
          <w:sz w:val="18"/>
        </w:rPr>
        <w:t>Abelli, H. (2021, January 8). Resilience: The competency every leader should cultivate. Forbes. Akartek,</w:t>
      </w:r>
      <w:r>
        <w:rPr>
          <w:color w:val="231F20"/>
          <w:spacing w:val="39"/>
          <w:sz w:val="18"/>
        </w:rPr>
        <w:t> </w:t>
      </w:r>
      <w:r>
        <w:rPr>
          <w:color w:val="231F20"/>
          <w:sz w:val="18"/>
        </w:rPr>
        <w:t>E.</w:t>
      </w:r>
      <w:r>
        <w:rPr>
          <w:color w:val="231F20"/>
          <w:spacing w:val="39"/>
          <w:sz w:val="18"/>
        </w:rPr>
        <w:t> </w:t>
      </w:r>
      <w:r>
        <w:rPr>
          <w:color w:val="231F20"/>
          <w:sz w:val="18"/>
        </w:rPr>
        <w:t>(2020,</w:t>
      </w:r>
      <w:r>
        <w:rPr>
          <w:color w:val="231F20"/>
          <w:spacing w:val="39"/>
          <w:sz w:val="18"/>
        </w:rPr>
        <w:t> </w:t>
      </w:r>
      <w:r>
        <w:rPr>
          <w:color w:val="231F20"/>
          <w:sz w:val="18"/>
        </w:rPr>
        <w:t>Ağustos).</w:t>
      </w:r>
      <w:r>
        <w:rPr>
          <w:color w:val="231F20"/>
          <w:spacing w:val="39"/>
          <w:sz w:val="18"/>
        </w:rPr>
        <w:t> </w:t>
      </w:r>
      <w:r>
        <w:rPr>
          <w:color w:val="231F20"/>
          <w:sz w:val="18"/>
        </w:rPr>
        <w:t>VUCA</w:t>
      </w:r>
      <w:r>
        <w:rPr>
          <w:color w:val="231F20"/>
          <w:spacing w:val="39"/>
          <w:sz w:val="18"/>
        </w:rPr>
        <w:t> </w:t>
      </w:r>
      <w:r>
        <w:rPr>
          <w:color w:val="231F20"/>
          <w:sz w:val="18"/>
        </w:rPr>
        <w:t>nedir?</w:t>
      </w:r>
      <w:r>
        <w:rPr>
          <w:color w:val="231F20"/>
          <w:spacing w:val="39"/>
          <w:sz w:val="18"/>
        </w:rPr>
        <w:t> </w:t>
      </w:r>
      <w:r>
        <w:rPr>
          <w:color w:val="231F20"/>
          <w:sz w:val="18"/>
        </w:rPr>
        <w:t>VUCA</w:t>
      </w:r>
      <w:r>
        <w:rPr>
          <w:color w:val="231F20"/>
          <w:spacing w:val="39"/>
          <w:sz w:val="18"/>
        </w:rPr>
        <w:t> </w:t>
      </w:r>
      <w:r>
        <w:rPr>
          <w:color w:val="231F20"/>
          <w:sz w:val="18"/>
        </w:rPr>
        <w:t>dünyasında</w:t>
      </w:r>
      <w:r>
        <w:rPr>
          <w:color w:val="231F20"/>
          <w:spacing w:val="39"/>
          <w:sz w:val="18"/>
        </w:rPr>
        <w:t> </w:t>
      </w:r>
      <w:r>
        <w:rPr>
          <w:color w:val="231F20"/>
          <w:sz w:val="18"/>
        </w:rPr>
        <w:t>nasıl</w:t>
      </w:r>
      <w:r>
        <w:rPr>
          <w:color w:val="231F20"/>
          <w:spacing w:val="39"/>
          <w:sz w:val="18"/>
        </w:rPr>
        <w:t> </w:t>
      </w:r>
      <w:r>
        <w:rPr>
          <w:color w:val="231F20"/>
          <w:sz w:val="18"/>
        </w:rPr>
        <w:t>hayatta</w:t>
      </w:r>
      <w:r>
        <w:rPr>
          <w:color w:val="231F20"/>
          <w:spacing w:val="39"/>
          <w:sz w:val="18"/>
        </w:rPr>
        <w:t> </w:t>
      </w:r>
      <w:r>
        <w:rPr>
          <w:color w:val="231F20"/>
          <w:sz w:val="18"/>
        </w:rPr>
        <w:t>kalırsınız?.</w:t>
      </w:r>
      <w:r>
        <w:rPr>
          <w:color w:val="231F20"/>
          <w:spacing w:val="40"/>
          <w:sz w:val="18"/>
        </w:rPr>
        <w:t> </w:t>
      </w:r>
      <w:r>
        <w:rPr>
          <w:color w:val="231F20"/>
          <w:sz w:val="18"/>
        </w:rPr>
        <w:t>Blogager.</w:t>
      </w:r>
    </w:p>
    <w:p>
      <w:pPr>
        <w:spacing w:line="149" w:lineRule="exact" w:before="0"/>
        <w:ind w:left="819" w:right="0" w:firstLine="0"/>
        <w:jc w:val="left"/>
        <w:rPr>
          <w:sz w:val="18"/>
        </w:rPr>
      </w:pPr>
      <w:hyperlink r:id="rId25">
        <w:r>
          <w:rPr>
            <w:color w:val="231F20"/>
            <w:sz w:val="18"/>
          </w:rPr>
          <w:t>https://blog.adgager.com/vuca-nedir-vuca-dunyasinda-nasil-hayatta-kalirsiniz/</w:t>
        </w:r>
      </w:hyperlink>
      <w:r>
        <w:rPr>
          <w:color w:val="231F20"/>
          <w:sz w:val="18"/>
        </w:rPr>
        <w:t>    Erişim  </w:t>
      </w:r>
      <w:r>
        <w:rPr>
          <w:color w:val="231F20"/>
          <w:spacing w:val="39"/>
          <w:sz w:val="18"/>
        </w:rPr>
        <w:t> </w:t>
      </w:r>
      <w:r>
        <w:rPr>
          <w:color w:val="231F20"/>
          <w:sz w:val="18"/>
        </w:rPr>
        <w:t>Tarihi:</w:t>
      </w:r>
    </w:p>
    <w:p>
      <w:pPr>
        <w:spacing w:before="13"/>
        <w:ind w:left="819" w:right="0" w:firstLine="0"/>
        <w:jc w:val="left"/>
        <w:rPr>
          <w:sz w:val="18"/>
        </w:rPr>
      </w:pPr>
      <w:r>
        <w:rPr>
          <w:color w:val="231F20"/>
          <w:sz w:val="18"/>
        </w:rPr>
        <w:t>14.04.2021</w:t>
      </w:r>
    </w:p>
    <w:p>
      <w:pPr>
        <w:spacing w:line="254" w:lineRule="auto" w:before="70"/>
        <w:ind w:left="819" w:right="250" w:hanging="567"/>
        <w:jc w:val="both"/>
        <w:rPr>
          <w:sz w:val="18"/>
        </w:rPr>
      </w:pPr>
      <w:r>
        <w:rPr>
          <w:color w:val="231F20"/>
          <w:sz w:val="18"/>
        </w:rPr>
        <w:t>Akdemir,</w:t>
      </w:r>
      <w:r>
        <w:rPr>
          <w:color w:val="231F20"/>
          <w:spacing w:val="-6"/>
          <w:sz w:val="18"/>
        </w:rPr>
        <w:t> </w:t>
      </w:r>
      <w:r>
        <w:rPr>
          <w:color w:val="231F20"/>
          <w:sz w:val="18"/>
        </w:rPr>
        <w:t>A.,</w:t>
      </w:r>
      <w:r>
        <w:rPr>
          <w:color w:val="231F20"/>
          <w:spacing w:val="-5"/>
          <w:sz w:val="18"/>
        </w:rPr>
        <w:t> </w:t>
      </w:r>
      <w:r>
        <w:rPr>
          <w:color w:val="231F20"/>
          <w:sz w:val="18"/>
        </w:rPr>
        <w:t>Günaydın,</w:t>
      </w:r>
      <w:r>
        <w:rPr>
          <w:color w:val="231F20"/>
          <w:spacing w:val="-5"/>
          <w:sz w:val="18"/>
        </w:rPr>
        <w:t> </w:t>
      </w:r>
      <w:r>
        <w:rPr>
          <w:color w:val="231F20"/>
          <w:sz w:val="18"/>
        </w:rPr>
        <w:t>S.C.</w:t>
      </w:r>
      <w:r>
        <w:rPr>
          <w:color w:val="231F20"/>
          <w:spacing w:val="-6"/>
          <w:sz w:val="18"/>
        </w:rPr>
        <w:t> </w:t>
      </w:r>
      <w:r>
        <w:rPr>
          <w:color w:val="231F20"/>
          <w:sz w:val="18"/>
        </w:rPr>
        <w:t>&amp;</w:t>
      </w:r>
      <w:r>
        <w:rPr>
          <w:color w:val="231F20"/>
          <w:spacing w:val="-5"/>
          <w:sz w:val="18"/>
        </w:rPr>
        <w:t> </w:t>
      </w:r>
      <w:r>
        <w:rPr>
          <w:color w:val="231F20"/>
          <w:sz w:val="18"/>
        </w:rPr>
        <w:t>İnal,</w:t>
      </w:r>
      <w:r>
        <w:rPr>
          <w:color w:val="231F20"/>
          <w:spacing w:val="-5"/>
          <w:sz w:val="18"/>
        </w:rPr>
        <w:t> </w:t>
      </w:r>
      <w:r>
        <w:rPr>
          <w:color w:val="231F20"/>
          <w:sz w:val="18"/>
        </w:rPr>
        <w:t>İ.H.</w:t>
      </w:r>
      <w:r>
        <w:rPr>
          <w:color w:val="231F20"/>
          <w:spacing w:val="-5"/>
          <w:sz w:val="18"/>
        </w:rPr>
        <w:t> </w:t>
      </w:r>
      <w:r>
        <w:rPr>
          <w:color w:val="231F20"/>
          <w:sz w:val="18"/>
        </w:rPr>
        <w:t>(2007).</w:t>
      </w:r>
      <w:r>
        <w:rPr>
          <w:color w:val="231F20"/>
          <w:spacing w:val="-6"/>
          <w:sz w:val="18"/>
        </w:rPr>
        <w:t> </w:t>
      </w:r>
      <w:r>
        <w:rPr>
          <w:color w:val="231F20"/>
          <w:sz w:val="18"/>
        </w:rPr>
        <w:t>Pandemi</w:t>
      </w:r>
      <w:r>
        <w:rPr>
          <w:color w:val="231F20"/>
          <w:spacing w:val="-5"/>
          <w:sz w:val="18"/>
        </w:rPr>
        <w:t> </w:t>
      </w:r>
      <w:r>
        <w:rPr>
          <w:color w:val="231F20"/>
          <w:sz w:val="18"/>
        </w:rPr>
        <w:t>sonrası</w:t>
      </w:r>
      <w:r>
        <w:rPr>
          <w:color w:val="231F20"/>
          <w:spacing w:val="-5"/>
          <w:sz w:val="18"/>
        </w:rPr>
        <w:t> </w:t>
      </w:r>
      <w:r>
        <w:rPr>
          <w:color w:val="231F20"/>
          <w:sz w:val="18"/>
        </w:rPr>
        <w:t>oluşan</w:t>
      </w:r>
      <w:r>
        <w:rPr>
          <w:color w:val="231F20"/>
          <w:spacing w:val="-6"/>
          <w:sz w:val="18"/>
        </w:rPr>
        <w:t> </w:t>
      </w:r>
      <w:r>
        <w:rPr>
          <w:color w:val="231F20"/>
          <w:sz w:val="18"/>
        </w:rPr>
        <w:t>VUCA</w:t>
      </w:r>
      <w:r>
        <w:rPr>
          <w:color w:val="231F20"/>
          <w:spacing w:val="-5"/>
          <w:sz w:val="18"/>
        </w:rPr>
        <w:t> </w:t>
      </w:r>
      <w:r>
        <w:rPr>
          <w:color w:val="231F20"/>
          <w:sz w:val="18"/>
        </w:rPr>
        <w:t>ortamının</w:t>
      </w:r>
      <w:r>
        <w:rPr>
          <w:color w:val="231F20"/>
          <w:spacing w:val="-5"/>
          <w:sz w:val="18"/>
        </w:rPr>
        <w:t> </w:t>
      </w:r>
      <w:r>
        <w:rPr>
          <w:color w:val="231F20"/>
          <w:sz w:val="18"/>
        </w:rPr>
        <w:t>çalışan</w:t>
      </w:r>
      <w:r>
        <w:rPr>
          <w:color w:val="231F20"/>
          <w:spacing w:val="-5"/>
          <w:sz w:val="18"/>
        </w:rPr>
        <w:t> </w:t>
      </w:r>
      <w:r>
        <w:rPr>
          <w:color w:val="231F20"/>
          <w:sz w:val="18"/>
        </w:rPr>
        <w:t>insan kaynakları kaygı düzeyi ve verimliliği üzerine etkisi. Yönetim Bilimleri Dergisi, 19(39). </w:t>
      </w:r>
      <w:hyperlink r:id="rId26">
        <w:r>
          <w:rPr>
            <w:color w:val="231F20"/>
            <w:sz w:val="18"/>
          </w:rPr>
          <w:t>https://</w:t>
        </w:r>
      </w:hyperlink>
      <w:r>
        <w:rPr>
          <w:color w:val="231F20"/>
          <w:sz w:val="18"/>
        </w:rPr>
        <w:t> </w:t>
      </w:r>
      <w:hyperlink r:id="rId26">
        <w:r>
          <w:rPr>
            <w:color w:val="231F20"/>
            <w:sz w:val="18"/>
          </w:rPr>
          <w:t>doi.org/10.35408/comuybd.769685</w:t>
        </w:r>
      </w:hyperlink>
      <w:r>
        <w:rPr>
          <w:color w:val="231F20"/>
          <w:sz w:val="18"/>
        </w:rPr>
        <w:t>.</w:t>
      </w:r>
    </w:p>
    <w:p>
      <w:pPr>
        <w:spacing w:line="254" w:lineRule="auto" w:before="58"/>
        <w:ind w:left="819" w:right="249" w:hanging="567"/>
        <w:jc w:val="both"/>
        <w:rPr>
          <w:sz w:val="18"/>
        </w:rPr>
      </w:pPr>
      <w:r>
        <w:rPr>
          <w:color w:val="231F20"/>
          <w:sz w:val="18"/>
        </w:rPr>
        <w:t>Akkaya, B. (2020). Review of leadership styles in perspective of dynamic capabilities: An empirical research on managers in manufacturing firms. Journal of Administrative Sciences, 18(36), 389- </w:t>
      </w:r>
      <w:hyperlink r:id="rId27">
        <w:r>
          <w:rPr>
            <w:color w:val="231F20"/>
            <w:sz w:val="18"/>
          </w:rPr>
          <w:t>407. https://doi.org/10.35408/comuybd. 681427</w:t>
        </w:r>
      </w:hyperlink>
      <w:r>
        <w:rPr>
          <w:color w:val="231F20"/>
          <w:sz w:val="18"/>
        </w:rPr>
        <w:t>.</w:t>
      </w:r>
    </w:p>
    <w:p>
      <w:pPr>
        <w:spacing w:after="0" w:line="254" w:lineRule="auto"/>
        <w:jc w:val="both"/>
        <w:rPr>
          <w:sz w:val="18"/>
        </w:rPr>
        <w:sectPr>
          <w:pgSz w:w="9530" w:h="13610"/>
          <w:pgMar w:header="860" w:footer="344" w:top="1060" w:bottom="540" w:left="740" w:right="740"/>
        </w:sectPr>
      </w:pPr>
    </w:p>
    <w:p>
      <w:pPr>
        <w:pStyle w:val="BodyText"/>
      </w:pPr>
    </w:p>
    <w:p>
      <w:pPr>
        <w:pStyle w:val="BodyText"/>
        <w:spacing w:before="5"/>
      </w:pPr>
    </w:p>
    <w:p>
      <w:pPr>
        <w:spacing w:line="254" w:lineRule="auto" w:before="0"/>
        <w:ind w:left="819" w:right="251" w:hanging="567"/>
        <w:jc w:val="both"/>
        <w:rPr>
          <w:sz w:val="18"/>
        </w:rPr>
      </w:pPr>
      <w:r>
        <w:rPr>
          <w:color w:val="231F20"/>
          <w:sz w:val="18"/>
        </w:rPr>
        <w:t>Akkaya, B., Kayalıdere, U.A.K., Aktaş, R. &amp; Karğın, S. (2020). Çevik liderlik yaklaşımı ve çevik lider davranışlarını ölçmeye yönelik bir ölçek geliştirme çalışması. İşletme Araştırmaları Dergisi, 12(2), 1605-1621.</w:t>
      </w:r>
    </w:p>
    <w:p>
      <w:pPr>
        <w:spacing w:line="254" w:lineRule="auto" w:before="59"/>
        <w:ind w:left="819" w:right="250" w:hanging="567"/>
        <w:jc w:val="both"/>
        <w:rPr>
          <w:sz w:val="18"/>
        </w:rPr>
      </w:pPr>
      <w:r>
        <w:rPr>
          <w:color w:val="231F20"/>
          <w:sz w:val="18"/>
        </w:rPr>
        <w:t>Antonacopoulou, E.P. (2018). Organisational learning for and with VUCA: Learning leadership revisited.</w:t>
      </w:r>
      <w:r>
        <w:rPr>
          <w:color w:val="231F20"/>
          <w:spacing w:val="-5"/>
          <w:sz w:val="18"/>
        </w:rPr>
        <w:t> </w:t>
      </w:r>
      <w:r>
        <w:rPr>
          <w:color w:val="231F20"/>
          <w:sz w:val="18"/>
        </w:rPr>
        <w:t>Teoria</w:t>
      </w:r>
      <w:r>
        <w:rPr>
          <w:color w:val="231F20"/>
          <w:spacing w:val="-4"/>
          <w:sz w:val="18"/>
        </w:rPr>
        <w:t> </w:t>
      </w:r>
      <w:r>
        <w:rPr>
          <w:color w:val="231F20"/>
          <w:sz w:val="18"/>
        </w:rPr>
        <w:t>e</w:t>
      </w:r>
      <w:r>
        <w:rPr>
          <w:color w:val="231F20"/>
          <w:spacing w:val="-5"/>
          <w:sz w:val="18"/>
        </w:rPr>
        <w:t> </w:t>
      </w:r>
      <w:r>
        <w:rPr>
          <w:color w:val="231F20"/>
          <w:sz w:val="18"/>
        </w:rPr>
        <w:t>Prática</w:t>
      </w:r>
      <w:r>
        <w:rPr>
          <w:color w:val="231F20"/>
          <w:spacing w:val="-4"/>
          <w:sz w:val="18"/>
        </w:rPr>
        <w:t> </w:t>
      </w:r>
      <w:r>
        <w:rPr>
          <w:color w:val="231F20"/>
          <w:sz w:val="18"/>
        </w:rPr>
        <w:t>em</w:t>
      </w:r>
      <w:r>
        <w:rPr>
          <w:color w:val="231F20"/>
          <w:spacing w:val="-4"/>
          <w:sz w:val="18"/>
        </w:rPr>
        <w:t> </w:t>
      </w:r>
      <w:r>
        <w:rPr>
          <w:color w:val="231F20"/>
          <w:sz w:val="18"/>
        </w:rPr>
        <w:t>Administração,</w:t>
      </w:r>
      <w:r>
        <w:rPr>
          <w:color w:val="231F20"/>
          <w:spacing w:val="-5"/>
          <w:sz w:val="18"/>
        </w:rPr>
        <w:t> </w:t>
      </w:r>
      <w:r>
        <w:rPr>
          <w:color w:val="231F20"/>
          <w:sz w:val="18"/>
        </w:rPr>
        <w:t>8(2),</w:t>
      </w:r>
      <w:r>
        <w:rPr>
          <w:color w:val="231F20"/>
          <w:spacing w:val="-4"/>
          <w:sz w:val="18"/>
        </w:rPr>
        <w:t> </w:t>
      </w:r>
      <w:r>
        <w:rPr>
          <w:color w:val="231F20"/>
          <w:sz w:val="18"/>
        </w:rPr>
        <w:t>10-32.</w:t>
      </w:r>
      <w:r>
        <w:rPr>
          <w:color w:val="231F20"/>
          <w:spacing w:val="-4"/>
          <w:sz w:val="18"/>
        </w:rPr>
        <w:t> </w:t>
      </w:r>
      <w:r>
        <w:rPr>
          <w:color w:val="231F20"/>
          <w:sz w:val="18"/>
        </w:rPr>
        <w:t>DOI:</w:t>
      </w:r>
      <w:r>
        <w:rPr>
          <w:color w:val="231F20"/>
          <w:spacing w:val="-4"/>
          <w:sz w:val="18"/>
        </w:rPr>
        <w:t> </w:t>
      </w:r>
      <w:hyperlink r:id="rId28">
        <w:r>
          <w:rPr>
            <w:color w:val="231F20"/>
            <w:sz w:val="18"/>
          </w:rPr>
          <w:t>http://dx.doi.org/10.21714/2238-</w:t>
        </w:r>
      </w:hyperlink>
      <w:r>
        <w:rPr>
          <w:color w:val="231F20"/>
          <w:sz w:val="18"/>
        </w:rPr>
        <w:t> </w:t>
      </w:r>
      <w:hyperlink r:id="rId28">
        <w:r>
          <w:rPr>
            <w:color w:val="231F20"/>
            <w:sz w:val="18"/>
          </w:rPr>
          <w:t>104X2018v8i2S-40869</w:t>
        </w:r>
      </w:hyperlink>
      <w:r>
        <w:rPr>
          <w:color w:val="231F20"/>
          <w:sz w:val="18"/>
        </w:rPr>
        <w:t>.</w:t>
      </w:r>
    </w:p>
    <w:p>
      <w:pPr>
        <w:spacing w:line="254" w:lineRule="auto" w:before="58"/>
        <w:ind w:left="819" w:right="253" w:hanging="567"/>
        <w:jc w:val="both"/>
        <w:rPr>
          <w:sz w:val="18"/>
        </w:rPr>
      </w:pPr>
      <w:r>
        <w:rPr>
          <w:color w:val="231F20"/>
          <w:sz w:val="18"/>
        </w:rPr>
        <w:t>Atam,</w:t>
      </w:r>
      <w:r>
        <w:rPr>
          <w:color w:val="231F20"/>
          <w:spacing w:val="-11"/>
          <w:sz w:val="18"/>
        </w:rPr>
        <w:t> </w:t>
      </w:r>
      <w:r>
        <w:rPr>
          <w:color w:val="231F20"/>
          <w:sz w:val="18"/>
        </w:rPr>
        <w:t>S.,</w:t>
      </w:r>
      <w:r>
        <w:rPr>
          <w:color w:val="231F20"/>
          <w:spacing w:val="-10"/>
          <w:sz w:val="18"/>
        </w:rPr>
        <w:t> </w:t>
      </w:r>
      <w:r>
        <w:rPr>
          <w:color w:val="231F20"/>
          <w:sz w:val="18"/>
        </w:rPr>
        <w:t>Dindar,</w:t>
      </w:r>
      <w:r>
        <w:rPr>
          <w:color w:val="231F20"/>
          <w:spacing w:val="-11"/>
          <w:sz w:val="18"/>
        </w:rPr>
        <w:t> </w:t>
      </w:r>
      <w:r>
        <w:rPr>
          <w:color w:val="231F20"/>
          <w:sz w:val="18"/>
        </w:rPr>
        <w:t>Z.</w:t>
      </w:r>
      <w:r>
        <w:rPr>
          <w:color w:val="231F20"/>
          <w:spacing w:val="-10"/>
          <w:sz w:val="18"/>
        </w:rPr>
        <w:t> </w:t>
      </w:r>
      <w:r>
        <w:rPr>
          <w:color w:val="231F20"/>
          <w:sz w:val="18"/>
        </w:rPr>
        <w:t>&amp;</w:t>
      </w:r>
      <w:r>
        <w:rPr>
          <w:color w:val="231F20"/>
          <w:spacing w:val="-11"/>
          <w:sz w:val="18"/>
        </w:rPr>
        <w:t> </w:t>
      </w:r>
      <w:r>
        <w:rPr>
          <w:color w:val="231F20"/>
          <w:sz w:val="18"/>
        </w:rPr>
        <w:t>Alan,</w:t>
      </w:r>
      <w:r>
        <w:rPr>
          <w:color w:val="231F20"/>
          <w:spacing w:val="-10"/>
          <w:sz w:val="18"/>
        </w:rPr>
        <w:t> </w:t>
      </w:r>
      <w:r>
        <w:rPr>
          <w:color w:val="231F20"/>
          <w:sz w:val="18"/>
        </w:rPr>
        <w:t>H.</w:t>
      </w:r>
      <w:r>
        <w:rPr>
          <w:color w:val="231F20"/>
          <w:spacing w:val="-10"/>
          <w:sz w:val="18"/>
        </w:rPr>
        <w:t> </w:t>
      </w:r>
      <w:r>
        <w:rPr>
          <w:color w:val="231F20"/>
          <w:sz w:val="18"/>
        </w:rPr>
        <w:t>(2020).</w:t>
      </w:r>
      <w:r>
        <w:rPr>
          <w:color w:val="231F20"/>
          <w:spacing w:val="-11"/>
          <w:sz w:val="18"/>
        </w:rPr>
        <w:t> </w:t>
      </w:r>
      <w:r>
        <w:rPr>
          <w:color w:val="231F20"/>
          <w:sz w:val="18"/>
        </w:rPr>
        <w:t>Değişime</w:t>
      </w:r>
      <w:r>
        <w:rPr>
          <w:color w:val="231F20"/>
          <w:spacing w:val="-11"/>
          <w:sz w:val="18"/>
        </w:rPr>
        <w:t> </w:t>
      </w:r>
      <w:r>
        <w:rPr>
          <w:color w:val="231F20"/>
          <w:sz w:val="18"/>
        </w:rPr>
        <w:t>dirençte</w:t>
      </w:r>
      <w:r>
        <w:rPr>
          <w:color w:val="231F20"/>
          <w:spacing w:val="-10"/>
          <w:sz w:val="18"/>
        </w:rPr>
        <w:t> </w:t>
      </w:r>
      <w:r>
        <w:rPr>
          <w:color w:val="231F20"/>
          <w:sz w:val="18"/>
        </w:rPr>
        <w:t>yönetici</w:t>
      </w:r>
      <w:r>
        <w:rPr>
          <w:color w:val="231F20"/>
          <w:spacing w:val="-12"/>
          <w:sz w:val="18"/>
        </w:rPr>
        <w:t> </w:t>
      </w:r>
      <w:r>
        <w:rPr>
          <w:color w:val="231F20"/>
          <w:sz w:val="18"/>
        </w:rPr>
        <w:t>hemşirenin</w:t>
      </w:r>
      <w:r>
        <w:rPr>
          <w:color w:val="231F20"/>
          <w:spacing w:val="-10"/>
          <w:sz w:val="18"/>
        </w:rPr>
        <w:t> </w:t>
      </w:r>
      <w:r>
        <w:rPr>
          <w:color w:val="231F20"/>
          <w:sz w:val="18"/>
        </w:rPr>
        <w:t>rolü.</w:t>
      </w:r>
      <w:r>
        <w:rPr>
          <w:color w:val="231F20"/>
          <w:spacing w:val="-11"/>
          <w:sz w:val="18"/>
        </w:rPr>
        <w:t> </w:t>
      </w:r>
      <w:r>
        <w:rPr>
          <w:color w:val="231F20"/>
          <w:sz w:val="18"/>
        </w:rPr>
        <w:t>Sağlık</w:t>
      </w:r>
      <w:r>
        <w:rPr>
          <w:color w:val="231F20"/>
          <w:spacing w:val="-10"/>
          <w:sz w:val="18"/>
        </w:rPr>
        <w:t> </w:t>
      </w:r>
      <w:r>
        <w:rPr>
          <w:color w:val="231F20"/>
          <w:sz w:val="18"/>
        </w:rPr>
        <w:t>ve</w:t>
      </w:r>
      <w:r>
        <w:rPr>
          <w:color w:val="231F20"/>
          <w:spacing w:val="-10"/>
          <w:sz w:val="18"/>
        </w:rPr>
        <w:t> </w:t>
      </w:r>
      <w:r>
        <w:rPr>
          <w:color w:val="231F20"/>
          <w:sz w:val="18"/>
        </w:rPr>
        <w:t>Hemşirelik Yönetimi Dergisi, </w:t>
      </w:r>
      <w:hyperlink r:id="rId29">
        <w:r>
          <w:rPr>
            <w:color w:val="231F20"/>
            <w:sz w:val="18"/>
          </w:rPr>
          <w:t>2(7), 316-322.</w:t>
        </w:r>
        <w:r>
          <w:rPr>
            <w:color w:val="231F20"/>
            <w:spacing w:val="-4"/>
            <w:sz w:val="18"/>
          </w:rPr>
          <w:t> </w:t>
        </w:r>
        <w:r>
          <w:rPr>
            <w:color w:val="231F20"/>
            <w:sz w:val="18"/>
          </w:rPr>
          <w:t>https://doi.org/10.5222/SHYD.2020.69772</w:t>
        </w:r>
      </w:hyperlink>
      <w:r>
        <w:rPr>
          <w:color w:val="231F20"/>
          <w:sz w:val="18"/>
        </w:rPr>
        <w:t>.</w:t>
      </w:r>
    </w:p>
    <w:p>
      <w:pPr>
        <w:spacing w:line="254" w:lineRule="auto" w:before="58"/>
        <w:ind w:left="819" w:right="251" w:hanging="567"/>
        <w:jc w:val="both"/>
        <w:rPr>
          <w:sz w:val="18"/>
        </w:rPr>
      </w:pPr>
      <w:r>
        <w:rPr>
          <w:color w:val="231F20"/>
          <w:sz w:val="18"/>
        </w:rPr>
        <w:t>Attar,</w:t>
      </w:r>
      <w:r>
        <w:rPr>
          <w:color w:val="231F20"/>
          <w:spacing w:val="-17"/>
          <w:sz w:val="18"/>
        </w:rPr>
        <w:t> </w:t>
      </w:r>
      <w:r>
        <w:rPr>
          <w:color w:val="231F20"/>
          <w:sz w:val="18"/>
        </w:rPr>
        <w:t>M.</w:t>
      </w:r>
      <w:r>
        <w:rPr>
          <w:color w:val="231F20"/>
          <w:spacing w:val="-16"/>
          <w:sz w:val="18"/>
        </w:rPr>
        <w:t> </w:t>
      </w:r>
      <w:r>
        <w:rPr>
          <w:color w:val="231F20"/>
          <w:sz w:val="18"/>
        </w:rPr>
        <w:t>&amp;</w:t>
      </w:r>
      <w:r>
        <w:rPr>
          <w:color w:val="231F20"/>
          <w:spacing w:val="-17"/>
          <w:sz w:val="18"/>
        </w:rPr>
        <w:t> </w:t>
      </w:r>
      <w:r>
        <w:rPr>
          <w:color w:val="231F20"/>
          <w:sz w:val="18"/>
        </w:rPr>
        <w:t>Abdul-Kareem,</w:t>
      </w:r>
      <w:r>
        <w:rPr>
          <w:color w:val="231F20"/>
          <w:spacing w:val="-17"/>
          <w:sz w:val="18"/>
        </w:rPr>
        <w:t> </w:t>
      </w:r>
      <w:r>
        <w:rPr>
          <w:color w:val="231F20"/>
          <w:sz w:val="18"/>
        </w:rPr>
        <w:t>A.</w:t>
      </w:r>
      <w:r>
        <w:rPr>
          <w:color w:val="231F20"/>
          <w:spacing w:val="-17"/>
          <w:sz w:val="18"/>
        </w:rPr>
        <w:t> </w:t>
      </w:r>
      <w:r>
        <w:rPr>
          <w:color w:val="231F20"/>
          <w:sz w:val="18"/>
        </w:rPr>
        <w:t>(2020).</w:t>
      </w:r>
      <w:r>
        <w:rPr>
          <w:color w:val="231F20"/>
          <w:spacing w:val="-16"/>
          <w:sz w:val="18"/>
        </w:rPr>
        <w:t> </w:t>
      </w:r>
      <w:r>
        <w:rPr>
          <w:color w:val="231F20"/>
          <w:sz w:val="18"/>
        </w:rPr>
        <w:t>The</w:t>
      </w:r>
      <w:r>
        <w:rPr>
          <w:color w:val="231F20"/>
          <w:spacing w:val="-16"/>
          <w:sz w:val="18"/>
        </w:rPr>
        <w:t> </w:t>
      </w:r>
      <w:r>
        <w:rPr>
          <w:color w:val="231F20"/>
          <w:sz w:val="18"/>
        </w:rPr>
        <w:t>role</w:t>
      </w:r>
      <w:r>
        <w:rPr>
          <w:color w:val="231F20"/>
          <w:spacing w:val="-17"/>
          <w:sz w:val="18"/>
        </w:rPr>
        <w:t> </w:t>
      </w:r>
      <w:r>
        <w:rPr>
          <w:color w:val="231F20"/>
          <w:sz w:val="18"/>
        </w:rPr>
        <w:t>of</w:t>
      </w:r>
      <w:r>
        <w:rPr>
          <w:color w:val="231F20"/>
          <w:spacing w:val="-16"/>
          <w:sz w:val="18"/>
        </w:rPr>
        <w:t> </w:t>
      </w:r>
      <w:r>
        <w:rPr>
          <w:color w:val="231F20"/>
          <w:sz w:val="18"/>
        </w:rPr>
        <w:t>agile</w:t>
      </w:r>
      <w:r>
        <w:rPr>
          <w:color w:val="231F20"/>
          <w:spacing w:val="-17"/>
          <w:sz w:val="18"/>
        </w:rPr>
        <w:t> </w:t>
      </w:r>
      <w:r>
        <w:rPr>
          <w:color w:val="231F20"/>
          <w:sz w:val="18"/>
        </w:rPr>
        <w:t>leadership</w:t>
      </w:r>
      <w:r>
        <w:rPr>
          <w:color w:val="231F20"/>
          <w:spacing w:val="-16"/>
          <w:sz w:val="18"/>
        </w:rPr>
        <w:t> </w:t>
      </w:r>
      <w:r>
        <w:rPr>
          <w:color w:val="231F20"/>
          <w:sz w:val="18"/>
        </w:rPr>
        <w:t>in</w:t>
      </w:r>
      <w:r>
        <w:rPr>
          <w:color w:val="231F20"/>
          <w:spacing w:val="-17"/>
          <w:sz w:val="18"/>
        </w:rPr>
        <w:t> </w:t>
      </w:r>
      <w:r>
        <w:rPr>
          <w:color w:val="231F20"/>
          <w:sz w:val="18"/>
        </w:rPr>
        <w:t>organisational</w:t>
      </w:r>
      <w:r>
        <w:rPr>
          <w:color w:val="231F20"/>
          <w:spacing w:val="-17"/>
          <w:sz w:val="18"/>
        </w:rPr>
        <w:t> </w:t>
      </w:r>
      <w:r>
        <w:rPr>
          <w:color w:val="231F20"/>
          <w:sz w:val="18"/>
        </w:rPr>
        <w:t>agility.</w:t>
      </w:r>
      <w:r>
        <w:rPr>
          <w:color w:val="231F20"/>
          <w:spacing w:val="-16"/>
          <w:sz w:val="18"/>
        </w:rPr>
        <w:t> </w:t>
      </w:r>
      <w:r>
        <w:rPr>
          <w:color w:val="231F20"/>
          <w:sz w:val="18"/>
        </w:rPr>
        <w:t>Agile</w:t>
      </w:r>
      <w:r>
        <w:rPr>
          <w:color w:val="231F20"/>
          <w:spacing w:val="-17"/>
          <w:sz w:val="18"/>
        </w:rPr>
        <w:t> </w:t>
      </w:r>
      <w:r>
        <w:rPr>
          <w:color w:val="231F20"/>
          <w:sz w:val="18"/>
        </w:rPr>
        <w:t>Business Leadership Methods for Industry 4.0.</w:t>
      </w:r>
      <w:r>
        <w:rPr>
          <w:color w:val="231F20"/>
          <w:spacing w:val="-5"/>
          <w:sz w:val="18"/>
        </w:rPr>
        <w:t> </w:t>
      </w:r>
      <w:hyperlink r:id="rId30">
        <w:r>
          <w:rPr>
            <w:color w:val="231F20"/>
            <w:sz w:val="18"/>
          </w:rPr>
          <w:t>https://doi.org/10.1108/978-1-80043-380-920201011</w:t>
        </w:r>
      </w:hyperlink>
      <w:r>
        <w:rPr>
          <w:color w:val="231F20"/>
          <w:sz w:val="18"/>
        </w:rPr>
        <w:t>.</w:t>
      </w:r>
    </w:p>
    <w:p>
      <w:pPr>
        <w:spacing w:line="254" w:lineRule="auto" w:before="58"/>
        <w:ind w:left="819" w:right="251" w:hanging="567"/>
        <w:jc w:val="both"/>
        <w:rPr>
          <w:sz w:val="18"/>
        </w:rPr>
      </w:pPr>
      <w:r>
        <w:rPr>
          <w:color w:val="231F20"/>
          <w:sz w:val="18"/>
        </w:rPr>
        <w:t>Baran, B.E. &amp; Woznyj, H.M. (2020). Managing VUCA: The human dynamics of agility. Organizational Dynamics. </w:t>
      </w:r>
      <w:hyperlink r:id="rId31">
        <w:r>
          <w:rPr>
            <w:color w:val="231F20"/>
            <w:sz w:val="18"/>
          </w:rPr>
          <w:t>https://doi.org/10.1016/j.orgdyn.2020.100787</w:t>
        </w:r>
      </w:hyperlink>
      <w:r>
        <w:rPr>
          <w:color w:val="231F20"/>
          <w:sz w:val="18"/>
        </w:rPr>
        <w:t>.</w:t>
      </w:r>
    </w:p>
    <w:p>
      <w:pPr>
        <w:spacing w:line="254" w:lineRule="auto" w:before="57"/>
        <w:ind w:left="819" w:right="251" w:hanging="567"/>
        <w:jc w:val="both"/>
        <w:rPr>
          <w:sz w:val="18"/>
        </w:rPr>
      </w:pPr>
      <w:r>
        <w:rPr>
          <w:color w:val="231F20"/>
          <w:sz w:val="18"/>
        </w:rPr>
        <w:t>Bartolomeo, M. (2019, November). VUCA prime – The answer to a VUCA dynamic.  The Axelos  Blog. </w:t>
      </w:r>
      <w:hyperlink r:id="rId32">
        <w:r>
          <w:rPr>
            <w:color w:val="231F20"/>
            <w:sz w:val="18"/>
          </w:rPr>
          <w:t>https://www.axelos.com/news/blogs/november-2019/vuca-prime-the-answer-to-a-vuca-</w:t>
        </w:r>
      </w:hyperlink>
      <w:r>
        <w:rPr>
          <w:color w:val="231F20"/>
          <w:sz w:val="18"/>
        </w:rPr>
        <w:t> </w:t>
      </w:r>
      <w:hyperlink r:id="rId32">
        <w:r>
          <w:rPr>
            <w:color w:val="231F20"/>
            <w:sz w:val="18"/>
          </w:rPr>
          <w:t>dynamic</w:t>
        </w:r>
      </w:hyperlink>
      <w:r>
        <w:rPr>
          <w:color w:val="231F20"/>
          <w:sz w:val="18"/>
        </w:rPr>
        <w:t>. Erişim Tarihi:</w:t>
      </w:r>
      <w:r>
        <w:rPr>
          <w:color w:val="231F20"/>
          <w:spacing w:val="-1"/>
          <w:sz w:val="18"/>
        </w:rPr>
        <w:t> </w:t>
      </w:r>
      <w:r>
        <w:rPr>
          <w:color w:val="231F20"/>
          <w:sz w:val="18"/>
        </w:rPr>
        <w:t>11.02.2021</w:t>
      </w:r>
    </w:p>
    <w:p>
      <w:pPr>
        <w:spacing w:line="254" w:lineRule="auto" w:before="59"/>
        <w:ind w:left="819" w:right="240" w:hanging="567"/>
        <w:jc w:val="both"/>
        <w:rPr>
          <w:sz w:val="18"/>
        </w:rPr>
      </w:pPr>
      <w:r>
        <w:rPr>
          <w:color w:val="231F20"/>
          <w:sz w:val="18"/>
        </w:rPr>
        <w:t>Bellack, R. (2020, June 17). 15 key qualities that define an ‘agile’ leader. Forbes. </w:t>
      </w:r>
      <w:hyperlink r:id="rId33">
        <w:r>
          <w:rPr>
            <w:color w:val="231F20"/>
            <w:sz w:val="18"/>
          </w:rPr>
          <w:t>https://www.</w:t>
        </w:r>
      </w:hyperlink>
      <w:r>
        <w:rPr>
          <w:color w:val="231F20"/>
          <w:sz w:val="18"/>
        </w:rPr>
        <w:t> </w:t>
      </w:r>
      <w:hyperlink r:id="rId33">
        <w:r>
          <w:rPr>
            <w:color w:val="231F20"/>
            <w:sz w:val="18"/>
          </w:rPr>
          <w:t>forbes.com/sites/forbescoachescouncil/2020/06/17/15-key-qualities-that-define-an-agile-</w:t>
        </w:r>
      </w:hyperlink>
      <w:r>
        <w:rPr>
          <w:color w:val="231F20"/>
          <w:sz w:val="18"/>
        </w:rPr>
        <w:t> </w:t>
      </w:r>
      <w:hyperlink r:id="rId33">
        <w:r>
          <w:rPr>
            <w:color w:val="231F20"/>
            <w:sz w:val="18"/>
          </w:rPr>
          <w:t>leader/?sh=31f186917f31</w:t>
        </w:r>
      </w:hyperlink>
      <w:r>
        <w:rPr>
          <w:color w:val="231F20"/>
          <w:sz w:val="18"/>
        </w:rPr>
        <w:t>. Erişim Tarihi: 20.05.2021</w:t>
      </w:r>
    </w:p>
    <w:p>
      <w:pPr>
        <w:spacing w:line="254" w:lineRule="auto" w:before="58"/>
        <w:ind w:left="819" w:right="250" w:hanging="567"/>
        <w:jc w:val="both"/>
        <w:rPr>
          <w:sz w:val="18"/>
        </w:rPr>
      </w:pPr>
      <w:r>
        <w:rPr>
          <w:color w:val="231F20"/>
          <w:sz w:val="18"/>
        </w:rPr>
        <w:t>Bennett, N. &amp; Lemoine, G. J. (2014). What a difference a word makes: Understanding threats to performance in a VUCA world. Business Horizons, 57(3), 311-317.</w:t>
      </w:r>
    </w:p>
    <w:p>
      <w:pPr>
        <w:spacing w:line="254" w:lineRule="auto" w:before="58"/>
        <w:ind w:left="819" w:right="252" w:hanging="567"/>
        <w:jc w:val="both"/>
        <w:rPr>
          <w:sz w:val="18"/>
        </w:rPr>
      </w:pPr>
      <w:r>
        <w:rPr>
          <w:color w:val="231F20"/>
          <w:sz w:val="18"/>
        </w:rPr>
        <w:t>Bennett, N. &amp; Lemoine, G. J. (2020, July/August). Vanquishing VUCA. BizEd AACSB International, 38-41.</w:t>
      </w:r>
    </w:p>
    <w:p>
      <w:pPr>
        <w:spacing w:line="254" w:lineRule="auto" w:before="58"/>
        <w:ind w:left="819" w:right="248" w:hanging="567"/>
        <w:jc w:val="both"/>
        <w:rPr>
          <w:sz w:val="18"/>
        </w:rPr>
      </w:pPr>
      <w:r>
        <w:rPr>
          <w:color w:val="231F20"/>
          <w:sz w:val="18"/>
        </w:rPr>
        <w:t>Bernstein, L. E. (2014). The perceived importance of vuca-driven skills for 21st century leader success and the extent of integration of those skills into leadership development programs. (Doctoral dissertation). Drake University.</w:t>
      </w:r>
    </w:p>
    <w:p>
      <w:pPr>
        <w:spacing w:line="254" w:lineRule="auto" w:before="58"/>
        <w:ind w:left="819" w:right="250" w:hanging="567"/>
        <w:jc w:val="both"/>
        <w:rPr>
          <w:sz w:val="18"/>
        </w:rPr>
      </w:pPr>
      <w:r>
        <w:rPr>
          <w:color w:val="231F20"/>
          <w:sz w:val="18"/>
        </w:rPr>
        <w:t>Berthon, P., Ewing, M. &amp; Hah, L. L. (2005). Captivating company: Dimensions of attractiveness in employer branding. International Journal of Advertising, 24(2), 151-172.</w:t>
      </w:r>
    </w:p>
    <w:p>
      <w:pPr>
        <w:spacing w:line="254" w:lineRule="auto" w:before="58"/>
        <w:ind w:left="819" w:right="252" w:hanging="567"/>
        <w:jc w:val="both"/>
        <w:rPr>
          <w:sz w:val="18"/>
        </w:rPr>
      </w:pPr>
      <w:r>
        <w:rPr>
          <w:color w:val="231F20"/>
          <w:sz w:val="18"/>
        </w:rPr>
        <w:t>Bilim, H.G. (2020). Yöneticilerin duygusal zeka seviyelerinin kullandıkları çatışma yönetim stillerine etkisi. Hacettepe Üniversitesi Sosyal Bilimler Dergisi, 2(2), 189-209.</w:t>
      </w:r>
    </w:p>
    <w:p>
      <w:pPr>
        <w:spacing w:line="254" w:lineRule="auto" w:before="58"/>
        <w:ind w:left="819" w:right="249" w:hanging="567"/>
        <w:jc w:val="both"/>
        <w:rPr>
          <w:sz w:val="18"/>
        </w:rPr>
      </w:pPr>
      <w:r>
        <w:rPr>
          <w:color w:val="231F20"/>
          <w:sz w:val="18"/>
        </w:rPr>
        <w:t>Bollen, K. A. &amp; Stine, R. A. (1992). Bootstrapping goodness-of-fit measures in structural equation models. Sociological Methods &amp; Research, 21(2), 205-229. </w:t>
      </w:r>
      <w:hyperlink r:id="rId34">
        <w:r>
          <w:rPr>
            <w:color w:val="231F20"/>
            <w:sz w:val="18"/>
          </w:rPr>
          <w:t>https://doi.org/10.1177/004912419</w:t>
        </w:r>
      </w:hyperlink>
      <w:r>
        <w:rPr>
          <w:color w:val="231F20"/>
          <w:sz w:val="18"/>
        </w:rPr>
        <w:t> </w:t>
      </w:r>
      <w:hyperlink r:id="rId34">
        <w:r>
          <w:rPr>
            <w:color w:val="231F20"/>
            <w:sz w:val="18"/>
          </w:rPr>
          <w:t>2021002004</w:t>
        </w:r>
      </w:hyperlink>
      <w:r>
        <w:rPr>
          <w:color w:val="231F20"/>
          <w:sz w:val="18"/>
        </w:rPr>
        <w:t>.</w:t>
      </w:r>
    </w:p>
    <w:p>
      <w:pPr>
        <w:spacing w:line="254" w:lineRule="auto" w:before="58"/>
        <w:ind w:left="819" w:right="250" w:hanging="567"/>
        <w:jc w:val="both"/>
        <w:rPr>
          <w:sz w:val="18"/>
        </w:rPr>
      </w:pPr>
      <w:r>
        <w:rPr>
          <w:color w:val="231F20"/>
          <w:sz w:val="18"/>
        </w:rPr>
        <w:t>Breen, J.M. (2017). Leadership resilience in a VUCA world. In Elkington, R., Steege, M.V.D., Glick- Smith, J. &amp; Breen, J.M. (Eds.). Visionary leadership in a turbulent world (pp. 39-58). Emerald Publishing </w:t>
      </w:r>
      <w:hyperlink r:id="rId35">
        <w:r>
          <w:rPr>
            <w:color w:val="231F20"/>
            <w:sz w:val="18"/>
          </w:rPr>
          <w:t>Limited. https://doi.org/10.1108/978-1-78714-242-820171003</w:t>
        </w:r>
      </w:hyperlink>
      <w:r>
        <w:rPr>
          <w:color w:val="231F20"/>
          <w:sz w:val="18"/>
        </w:rPr>
        <w:t>.</w:t>
      </w:r>
    </w:p>
    <w:p>
      <w:pPr>
        <w:spacing w:line="254" w:lineRule="auto" w:before="59"/>
        <w:ind w:left="819" w:right="248" w:hanging="567"/>
        <w:jc w:val="both"/>
        <w:rPr>
          <w:sz w:val="18"/>
        </w:rPr>
      </w:pPr>
      <w:r>
        <w:rPr>
          <w:color w:val="231F20"/>
          <w:sz w:val="18"/>
        </w:rPr>
        <w:t>Brown,</w:t>
      </w:r>
      <w:r>
        <w:rPr>
          <w:color w:val="231F20"/>
          <w:spacing w:val="-8"/>
          <w:sz w:val="18"/>
        </w:rPr>
        <w:t> </w:t>
      </w:r>
      <w:r>
        <w:rPr>
          <w:color w:val="231F20"/>
          <w:sz w:val="18"/>
        </w:rPr>
        <w:t>T.A.</w:t>
      </w:r>
      <w:r>
        <w:rPr>
          <w:color w:val="231F20"/>
          <w:spacing w:val="-8"/>
          <w:sz w:val="18"/>
        </w:rPr>
        <w:t> </w:t>
      </w:r>
      <w:r>
        <w:rPr>
          <w:color w:val="231F20"/>
          <w:sz w:val="18"/>
        </w:rPr>
        <w:t>(2006).</w:t>
      </w:r>
      <w:r>
        <w:rPr>
          <w:color w:val="231F20"/>
          <w:spacing w:val="-7"/>
          <w:sz w:val="18"/>
        </w:rPr>
        <w:t> </w:t>
      </w:r>
      <w:r>
        <w:rPr>
          <w:color w:val="231F20"/>
          <w:sz w:val="18"/>
        </w:rPr>
        <w:t>Introduction</w:t>
      </w:r>
      <w:r>
        <w:rPr>
          <w:color w:val="231F20"/>
          <w:spacing w:val="-9"/>
          <w:sz w:val="18"/>
        </w:rPr>
        <w:t> </w:t>
      </w:r>
      <w:r>
        <w:rPr>
          <w:color w:val="231F20"/>
          <w:sz w:val="18"/>
        </w:rPr>
        <w:t>to</w:t>
      </w:r>
      <w:r>
        <w:rPr>
          <w:color w:val="231F20"/>
          <w:spacing w:val="-7"/>
          <w:sz w:val="18"/>
        </w:rPr>
        <w:t> </w:t>
      </w:r>
      <w:r>
        <w:rPr>
          <w:color w:val="231F20"/>
          <w:sz w:val="18"/>
        </w:rPr>
        <w:t>CFA.</w:t>
      </w:r>
      <w:r>
        <w:rPr>
          <w:color w:val="231F20"/>
          <w:spacing w:val="-8"/>
          <w:sz w:val="18"/>
        </w:rPr>
        <w:t> </w:t>
      </w:r>
      <w:r>
        <w:rPr>
          <w:color w:val="231F20"/>
          <w:sz w:val="18"/>
        </w:rPr>
        <w:t>Confirmatory</w:t>
      </w:r>
      <w:r>
        <w:rPr>
          <w:color w:val="231F20"/>
          <w:spacing w:val="-9"/>
          <w:sz w:val="18"/>
        </w:rPr>
        <w:t> </w:t>
      </w:r>
      <w:r>
        <w:rPr>
          <w:color w:val="231F20"/>
          <w:sz w:val="18"/>
        </w:rPr>
        <w:t>factor</w:t>
      </w:r>
      <w:r>
        <w:rPr>
          <w:color w:val="231F20"/>
          <w:spacing w:val="-8"/>
          <w:sz w:val="18"/>
        </w:rPr>
        <w:t> </w:t>
      </w:r>
      <w:r>
        <w:rPr>
          <w:color w:val="231F20"/>
          <w:sz w:val="18"/>
        </w:rPr>
        <w:t>analysis</w:t>
      </w:r>
      <w:r>
        <w:rPr>
          <w:color w:val="231F20"/>
          <w:spacing w:val="-8"/>
          <w:sz w:val="18"/>
        </w:rPr>
        <w:t> </w:t>
      </w:r>
      <w:r>
        <w:rPr>
          <w:color w:val="231F20"/>
          <w:sz w:val="18"/>
        </w:rPr>
        <w:t>for</w:t>
      </w:r>
      <w:r>
        <w:rPr>
          <w:color w:val="231F20"/>
          <w:spacing w:val="-7"/>
          <w:sz w:val="18"/>
        </w:rPr>
        <w:t> </w:t>
      </w:r>
      <w:r>
        <w:rPr>
          <w:color w:val="231F20"/>
          <w:sz w:val="18"/>
        </w:rPr>
        <w:t>applied</w:t>
      </w:r>
      <w:r>
        <w:rPr>
          <w:color w:val="231F20"/>
          <w:spacing w:val="-9"/>
          <w:sz w:val="18"/>
        </w:rPr>
        <w:t> </w:t>
      </w:r>
      <w:r>
        <w:rPr>
          <w:color w:val="231F20"/>
          <w:sz w:val="18"/>
        </w:rPr>
        <w:t>research</w:t>
      </w:r>
      <w:r>
        <w:rPr>
          <w:color w:val="231F20"/>
          <w:spacing w:val="-8"/>
          <w:sz w:val="18"/>
        </w:rPr>
        <w:t> </w:t>
      </w:r>
      <w:r>
        <w:rPr>
          <w:color w:val="231F20"/>
          <w:sz w:val="18"/>
        </w:rPr>
        <w:t>(3rd</w:t>
      </w:r>
      <w:r>
        <w:rPr>
          <w:color w:val="231F20"/>
          <w:spacing w:val="-8"/>
          <w:sz w:val="18"/>
        </w:rPr>
        <w:t> </w:t>
      </w:r>
      <w:r>
        <w:rPr>
          <w:color w:val="231F20"/>
          <w:sz w:val="18"/>
        </w:rPr>
        <w:t>Ed).</w:t>
      </w:r>
      <w:r>
        <w:rPr>
          <w:color w:val="231F20"/>
          <w:spacing w:val="-8"/>
          <w:sz w:val="18"/>
        </w:rPr>
        <w:t> </w:t>
      </w:r>
      <w:r>
        <w:rPr>
          <w:color w:val="231F20"/>
          <w:spacing w:val="-4"/>
          <w:sz w:val="18"/>
        </w:rPr>
        <w:t>The </w:t>
      </w:r>
      <w:r>
        <w:rPr>
          <w:color w:val="231F20"/>
          <w:sz w:val="18"/>
        </w:rPr>
        <w:t>Guilford</w:t>
      </w:r>
      <w:r>
        <w:rPr>
          <w:color w:val="231F20"/>
          <w:spacing w:val="-2"/>
          <w:sz w:val="18"/>
        </w:rPr>
        <w:t> </w:t>
      </w:r>
      <w:r>
        <w:rPr>
          <w:color w:val="231F20"/>
          <w:sz w:val="18"/>
        </w:rPr>
        <w:t>Press.</w:t>
      </w:r>
    </w:p>
    <w:p>
      <w:pPr>
        <w:spacing w:before="57"/>
        <w:ind w:left="252" w:right="0" w:firstLine="0"/>
        <w:jc w:val="both"/>
        <w:rPr>
          <w:sz w:val="18"/>
        </w:rPr>
      </w:pPr>
      <w:r>
        <w:rPr>
          <w:color w:val="231F20"/>
          <w:sz w:val="18"/>
        </w:rPr>
        <w:t>Bursal, M. (2019). SPSS ile temel veri analizleri (Gen.2.bs.). Ankara: Anı Yayıncılık.</w:t>
      </w:r>
    </w:p>
    <w:p>
      <w:pPr>
        <w:spacing w:line="254" w:lineRule="auto" w:before="70"/>
        <w:ind w:left="819" w:right="249" w:hanging="567"/>
        <w:jc w:val="both"/>
        <w:rPr>
          <w:sz w:val="18"/>
        </w:rPr>
      </w:pPr>
      <w:r>
        <w:rPr>
          <w:color w:val="231F20"/>
          <w:sz w:val="18"/>
        </w:rPr>
        <w:t>Bushuyeva,</w:t>
      </w:r>
      <w:r>
        <w:rPr>
          <w:color w:val="231F20"/>
          <w:spacing w:val="-4"/>
          <w:sz w:val="18"/>
        </w:rPr>
        <w:t> </w:t>
      </w:r>
      <w:r>
        <w:rPr>
          <w:color w:val="231F20"/>
          <w:sz w:val="18"/>
        </w:rPr>
        <w:t>N.,</w:t>
      </w:r>
      <w:r>
        <w:rPr>
          <w:color w:val="231F20"/>
          <w:spacing w:val="-5"/>
          <w:sz w:val="18"/>
        </w:rPr>
        <w:t> </w:t>
      </w:r>
      <w:r>
        <w:rPr>
          <w:color w:val="231F20"/>
          <w:sz w:val="18"/>
        </w:rPr>
        <w:t>Bushuiev,</w:t>
      </w:r>
      <w:r>
        <w:rPr>
          <w:color w:val="231F20"/>
          <w:spacing w:val="-3"/>
          <w:sz w:val="18"/>
        </w:rPr>
        <w:t> </w:t>
      </w:r>
      <w:r>
        <w:rPr>
          <w:color w:val="231F20"/>
          <w:sz w:val="18"/>
        </w:rPr>
        <w:t>D.</w:t>
      </w:r>
      <w:r>
        <w:rPr>
          <w:color w:val="231F20"/>
          <w:spacing w:val="-4"/>
          <w:sz w:val="18"/>
        </w:rPr>
        <w:t> </w:t>
      </w:r>
      <w:r>
        <w:rPr>
          <w:color w:val="231F20"/>
          <w:sz w:val="18"/>
        </w:rPr>
        <w:t>&amp;</w:t>
      </w:r>
      <w:r>
        <w:rPr>
          <w:color w:val="231F20"/>
          <w:spacing w:val="-3"/>
          <w:sz w:val="18"/>
        </w:rPr>
        <w:t> </w:t>
      </w:r>
      <w:r>
        <w:rPr>
          <w:color w:val="231F20"/>
          <w:sz w:val="18"/>
        </w:rPr>
        <w:t>Bushuieva,</w:t>
      </w:r>
      <w:r>
        <w:rPr>
          <w:color w:val="231F20"/>
          <w:spacing w:val="-5"/>
          <w:sz w:val="18"/>
        </w:rPr>
        <w:t> </w:t>
      </w:r>
      <w:r>
        <w:rPr>
          <w:color w:val="231F20"/>
          <w:sz w:val="18"/>
        </w:rPr>
        <w:t>V.</w:t>
      </w:r>
      <w:r>
        <w:rPr>
          <w:color w:val="231F20"/>
          <w:spacing w:val="-4"/>
          <w:sz w:val="18"/>
        </w:rPr>
        <w:t> </w:t>
      </w:r>
      <w:r>
        <w:rPr>
          <w:color w:val="231F20"/>
          <w:sz w:val="18"/>
        </w:rPr>
        <w:t>(2019).</w:t>
      </w:r>
      <w:r>
        <w:rPr>
          <w:color w:val="231F20"/>
          <w:spacing w:val="-3"/>
          <w:sz w:val="18"/>
        </w:rPr>
        <w:t> </w:t>
      </w:r>
      <w:r>
        <w:rPr>
          <w:color w:val="231F20"/>
          <w:sz w:val="18"/>
        </w:rPr>
        <w:t>Agile</w:t>
      </w:r>
      <w:r>
        <w:rPr>
          <w:color w:val="231F20"/>
          <w:spacing w:val="-5"/>
          <w:sz w:val="18"/>
        </w:rPr>
        <w:t> </w:t>
      </w:r>
      <w:r>
        <w:rPr>
          <w:color w:val="231F20"/>
          <w:sz w:val="18"/>
        </w:rPr>
        <w:t>leadership</w:t>
      </w:r>
      <w:r>
        <w:rPr>
          <w:color w:val="231F20"/>
          <w:spacing w:val="-4"/>
          <w:sz w:val="18"/>
        </w:rPr>
        <w:t> </w:t>
      </w:r>
      <w:r>
        <w:rPr>
          <w:color w:val="231F20"/>
          <w:sz w:val="18"/>
        </w:rPr>
        <w:t>of</w:t>
      </w:r>
      <w:r>
        <w:rPr>
          <w:color w:val="231F20"/>
          <w:spacing w:val="-4"/>
          <w:sz w:val="18"/>
        </w:rPr>
        <w:t> </w:t>
      </w:r>
      <w:r>
        <w:rPr>
          <w:color w:val="231F20"/>
          <w:sz w:val="18"/>
        </w:rPr>
        <w:t>managing</w:t>
      </w:r>
      <w:r>
        <w:rPr>
          <w:color w:val="231F20"/>
          <w:spacing w:val="-5"/>
          <w:sz w:val="18"/>
        </w:rPr>
        <w:t> </w:t>
      </w:r>
      <w:r>
        <w:rPr>
          <w:color w:val="231F20"/>
          <w:sz w:val="18"/>
        </w:rPr>
        <w:t>innovation</w:t>
      </w:r>
      <w:r>
        <w:rPr>
          <w:color w:val="231F20"/>
          <w:spacing w:val="-4"/>
          <w:sz w:val="18"/>
        </w:rPr>
        <w:t> </w:t>
      </w:r>
      <w:r>
        <w:rPr>
          <w:color w:val="231F20"/>
          <w:sz w:val="18"/>
        </w:rPr>
        <w:t>projects. Innovative Technologies and Scientific Solutions for Industries, 4(10), 77-84. </w:t>
      </w:r>
      <w:hyperlink r:id="rId36">
        <w:r>
          <w:rPr>
            <w:color w:val="231F20"/>
            <w:sz w:val="18"/>
          </w:rPr>
          <w:t>https://doi.</w:t>
        </w:r>
      </w:hyperlink>
      <w:r>
        <w:rPr>
          <w:color w:val="231F20"/>
          <w:sz w:val="18"/>
        </w:rPr>
        <w:t> </w:t>
      </w:r>
      <w:hyperlink r:id="rId36">
        <w:r>
          <w:rPr>
            <w:color w:val="231F20"/>
            <w:sz w:val="18"/>
          </w:rPr>
          <w:t>org/10.30837/2522-9818.2019.10.077</w:t>
        </w:r>
      </w:hyperlink>
      <w:r>
        <w:rPr>
          <w:color w:val="231F20"/>
          <w:sz w:val="18"/>
        </w:rPr>
        <w:t>.</w:t>
      </w:r>
    </w:p>
    <w:p>
      <w:pPr>
        <w:spacing w:line="254" w:lineRule="auto" w:before="58"/>
        <w:ind w:left="819" w:right="250" w:hanging="567"/>
        <w:jc w:val="both"/>
        <w:rPr>
          <w:sz w:val="18"/>
        </w:rPr>
      </w:pPr>
      <w:r>
        <w:rPr>
          <w:color w:val="231F20"/>
          <w:sz w:val="18"/>
        </w:rPr>
        <w:t>Büyüköztürk, Ş. (2002). Faktör analizi: Temel kavramlar ve ölçek geliştirmede kullanımı. Kuram ve Uygulamada Eğitim Yönetimi, (32), 470-483.</w:t>
      </w:r>
    </w:p>
    <w:p>
      <w:pPr>
        <w:spacing w:before="58"/>
        <w:ind w:left="252" w:right="0" w:firstLine="0"/>
        <w:jc w:val="both"/>
        <w:rPr>
          <w:sz w:val="18"/>
        </w:rPr>
      </w:pPr>
      <w:r>
        <w:rPr>
          <w:color w:val="231F20"/>
          <w:sz w:val="18"/>
        </w:rPr>
        <w:t>Büyüköztürk, Ş. (2015). Sosyal bilimler için veri analizi el kitabı (21. bs.). Ankara: Pegem Akademi.</w:t>
      </w:r>
    </w:p>
    <w:p>
      <w:pPr>
        <w:spacing w:after="0"/>
        <w:jc w:val="both"/>
        <w:rPr>
          <w:sz w:val="18"/>
        </w:rPr>
        <w:sectPr>
          <w:pgSz w:w="9530" w:h="13610"/>
          <w:pgMar w:header="700" w:footer="344" w:top="1060" w:bottom="540" w:left="740" w:right="740"/>
        </w:sectPr>
      </w:pPr>
    </w:p>
    <w:p>
      <w:pPr>
        <w:pStyle w:val="BodyText"/>
      </w:pPr>
    </w:p>
    <w:p>
      <w:pPr>
        <w:pStyle w:val="BodyText"/>
        <w:spacing w:before="5"/>
      </w:pPr>
    </w:p>
    <w:p>
      <w:pPr>
        <w:spacing w:before="0"/>
        <w:ind w:left="252" w:right="0" w:firstLine="0"/>
        <w:jc w:val="left"/>
        <w:rPr>
          <w:sz w:val="18"/>
        </w:rPr>
      </w:pPr>
      <w:r>
        <w:rPr>
          <w:color w:val="231F20"/>
          <w:sz w:val="18"/>
        </w:rPr>
        <w:t>Büyüköztürk, Ş. (2016). Sosyal bilimler için veri analizi el kitabı (22.bs.). Ankara: Pegem Akademi.</w:t>
      </w:r>
    </w:p>
    <w:p>
      <w:pPr>
        <w:spacing w:line="254" w:lineRule="auto" w:before="70"/>
        <w:ind w:left="819" w:right="29" w:hanging="567"/>
        <w:jc w:val="left"/>
        <w:rPr>
          <w:sz w:val="18"/>
        </w:rPr>
      </w:pPr>
      <w:r>
        <w:rPr>
          <w:color w:val="231F20"/>
          <w:sz w:val="18"/>
        </w:rPr>
        <w:t>Byrne, B.M. (2011). Structural equation modeling with AMOS: Basic concepts, applications, and programming (3th Ed.). Routledge.</w:t>
      </w:r>
    </w:p>
    <w:p>
      <w:pPr>
        <w:spacing w:line="254" w:lineRule="auto" w:before="58"/>
        <w:ind w:left="819" w:right="242" w:hanging="567"/>
        <w:jc w:val="left"/>
        <w:rPr>
          <w:sz w:val="18"/>
        </w:rPr>
      </w:pPr>
      <w:r>
        <w:rPr>
          <w:color w:val="231F20"/>
          <w:sz w:val="18"/>
        </w:rPr>
        <w:t>Bywater,</w:t>
      </w:r>
      <w:r>
        <w:rPr>
          <w:color w:val="231F20"/>
          <w:spacing w:val="-8"/>
          <w:sz w:val="18"/>
        </w:rPr>
        <w:t> </w:t>
      </w:r>
      <w:r>
        <w:rPr>
          <w:color w:val="231F20"/>
          <w:sz w:val="18"/>
        </w:rPr>
        <w:t>J.</w:t>
      </w:r>
      <w:r>
        <w:rPr>
          <w:color w:val="231F20"/>
          <w:spacing w:val="-7"/>
          <w:sz w:val="18"/>
        </w:rPr>
        <w:t> </w:t>
      </w:r>
      <w:r>
        <w:rPr>
          <w:color w:val="231F20"/>
          <w:sz w:val="18"/>
        </w:rPr>
        <w:t>&amp;</w:t>
      </w:r>
      <w:r>
        <w:rPr>
          <w:color w:val="231F20"/>
          <w:spacing w:val="-7"/>
          <w:sz w:val="18"/>
        </w:rPr>
        <w:t> </w:t>
      </w:r>
      <w:r>
        <w:rPr>
          <w:color w:val="231F20"/>
          <w:sz w:val="18"/>
        </w:rPr>
        <w:t>Lewis,</w:t>
      </w:r>
      <w:r>
        <w:rPr>
          <w:color w:val="231F20"/>
          <w:spacing w:val="-7"/>
          <w:sz w:val="18"/>
        </w:rPr>
        <w:t> </w:t>
      </w:r>
      <w:r>
        <w:rPr>
          <w:color w:val="231F20"/>
          <w:sz w:val="18"/>
        </w:rPr>
        <w:t>J.</w:t>
      </w:r>
      <w:r>
        <w:rPr>
          <w:color w:val="231F20"/>
          <w:spacing w:val="-7"/>
          <w:sz w:val="18"/>
        </w:rPr>
        <w:t> </w:t>
      </w:r>
      <w:r>
        <w:rPr>
          <w:color w:val="231F20"/>
          <w:sz w:val="18"/>
        </w:rPr>
        <w:t>(2019).</w:t>
      </w:r>
      <w:r>
        <w:rPr>
          <w:color w:val="231F20"/>
          <w:spacing w:val="-7"/>
          <w:sz w:val="18"/>
        </w:rPr>
        <w:t> </w:t>
      </w:r>
      <w:r>
        <w:rPr>
          <w:color w:val="231F20"/>
          <w:sz w:val="18"/>
        </w:rPr>
        <w:t>Leadership:</w:t>
      </w:r>
      <w:r>
        <w:rPr>
          <w:color w:val="231F20"/>
          <w:spacing w:val="-7"/>
          <w:sz w:val="18"/>
        </w:rPr>
        <w:t> </w:t>
      </w:r>
      <w:r>
        <w:rPr>
          <w:color w:val="231F20"/>
          <w:sz w:val="18"/>
        </w:rPr>
        <w:t>What</w:t>
      </w:r>
      <w:r>
        <w:rPr>
          <w:color w:val="231F20"/>
          <w:spacing w:val="-7"/>
          <w:sz w:val="18"/>
        </w:rPr>
        <w:t> </w:t>
      </w:r>
      <w:r>
        <w:rPr>
          <w:color w:val="231F20"/>
          <w:sz w:val="18"/>
        </w:rPr>
        <w:t>competencies</w:t>
      </w:r>
      <w:r>
        <w:rPr>
          <w:color w:val="231F20"/>
          <w:spacing w:val="-9"/>
          <w:sz w:val="18"/>
        </w:rPr>
        <w:t> </w:t>
      </w:r>
      <w:r>
        <w:rPr>
          <w:color w:val="231F20"/>
          <w:sz w:val="18"/>
        </w:rPr>
        <w:t>does</w:t>
      </w:r>
      <w:r>
        <w:rPr>
          <w:color w:val="231F20"/>
          <w:spacing w:val="-7"/>
          <w:sz w:val="18"/>
        </w:rPr>
        <w:t> </w:t>
      </w:r>
      <w:r>
        <w:rPr>
          <w:color w:val="231F20"/>
          <w:sz w:val="18"/>
        </w:rPr>
        <w:t>it</w:t>
      </w:r>
      <w:r>
        <w:rPr>
          <w:color w:val="231F20"/>
          <w:spacing w:val="-7"/>
          <w:sz w:val="18"/>
        </w:rPr>
        <w:t> </w:t>
      </w:r>
      <w:r>
        <w:rPr>
          <w:color w:val="231F20"/>
          <w:sz w:val="18"/>
        </w:rPr>
        <w:t>take</w:t>
      </w:r>
      <w:r>
        <w:rPr>
          <w:color w:val="231F20"/>
          <w:spacing w:val="-7"/>
          <w:sz w:val="18"/>
        </w:rPr>
        <w:t> </w:t>
      </w:r>
      <w:r>
        <w:rPr>
          <w:color w:val="231F20"/>
          <w:sz w:val="18"/>
        </w:rPr>
        <w:t>to</w:t>
      </w:r>
      <w:r>
        <w:rPr>
          <w:color w:val="231F20"/>
          <w:spacing w:val="-7"/>
          <w:sz w:val="18"/>
        </w:rPr>
        <w:t> </w:t>
      </w:r>
      <w:r>
        <w:rPr>
          <w:color w:val="231F20"/>
          <w:sz w:val="18"/>
        </w:rPr>
        <w:t>remain</w:t>
      </w:r>
      <w:r>
        <w:rPr>
          <w:color w:val="231F20"/>
          <w:spacing w:val="-7"/>
          <w:sz w:val="18"/>
        </w:rPr>
        <w:t> </w:t>
      </w:r>
      <w:r>
        <w:rPr>
          <w:color w:val="231F20"/>
          <w:sz w:val="18"/>
        </w:rPr>
        <w:t>engaged</w:t>
      </w:r>
      <w:r>
        <w:rPr>
          <w:color w:val="231F20"/>
          <w:spacing w:val="-7"/>
          <w:sz w:val="18"/>
        </w:rPr>
        <w:t> </w:t>
      </w:r>
      <w:r>
        <w:rPr>
          <w:color w:val="231F20"/>
          <w:sz w:val="18"/>
        </w:rPr>
        <w:t>as</w:t>
      </w:r>
      <w:r>
        <w:rPr>
          <w:color w:val="231F20"/>
          <w:spacing w:val="-7"/>
          <w:sz w:val="18"/>
        </w:rPr>
        <w:t> </w:t>
      </w:r>
      <w:r>
        <w:rPr>
          <w:color w:val="231F20"/>
          <w:sz w:val="18"/>
        </w:rPr>
        <w:t>a</w:t>
      </w:r>
      <w:r>
        <w:rPr>
          <w:color w:val="231F20"/>
          <w:spacing w:val="-7"/>
          <w:sz w:val="18"/>
        </w:rPr>
        <w:t> </w:t>
      </w:r>
      <w:r>
        <w:rPr>
          <w:color w:val="231F20"/>
          <w:sz w:val="18"/>
        </w:rPr>
        <w:t>leader in a VUCA world?. Assessment &amp; Development Matters,</w:t>
      </w:r>
      <w:r>
        <w:rPr>
          <w:color w:val="231F20"/>
          <w:spacing w:val="-10"/>
          <w:sz w:val="18"/>
        </w:rPr>
        <w:t> </w:t>
      </w:r>
      <w:r>
        <w:rPr>
          <w:color w:val="231F20"/>
          <w:sz w:val="18"/>
        </w:rPr>
        <w:t>11(3).</w:t>
      </w:r>
    </w:p>
    <w:p>
      <w:pPr>
        <w:spacing w:line="254" w:lineRule="auto" w:before="57"/>
        <w:ind w:left="819" w:right="29" w:hanging="567"/>
        <w:jc w:val="left"/>
        <w:rPr>
          <w:sz w:val="18"/>
        </w:rPr>
      </w:pPr>
      <w:r>
        <w:rPr>
          <w:color w:val="231F20"/>
          <w:sz w:val="18"/>
        </w:rPr>
        <w:t>Caligiuri, P. (2013). Developing culturally agile global business leaders. Organizational Dynamics, 42. </w:t>
      </w:r>
      <w:hyperlink r:id="rId37">
        <w:r>
          <w:rPr>
            <w:color w:val="231F20"/>
            <w:sz w:val="18"/>
          </w:rPr>
          <w:t>https://doi.org/10.1016/j.orgdyn.2013.06.002</w:t>
        </w:r>
      </w:hyperlink>
      <w:r>
        <w:rPr>
          <w:color w:val="231F20"/>
          <w:sz w:val="18"/>
        </w:rPr>
        <w:t>.</w:t>
      </w:r>
    </w:p>
    <w:p>
      <w:pPr>
        <w:spacing w:line="321" w:lineRule="auto" w:before="58"/>
        <w:ind w:left="252" w:right="164" w:firstLine="0"/>
        <w:jc w:val="left"/>
        <w:rPr>
          <w:sz w:val="18"/>
        </w:rPr>
      </w:pPr>
      <w:r>
        <w:rPr>
          <w:color w:val="231F20"/>
          <w:sz w:val="18"/>
        </w:rPr>
        <w:t>Cattell, R. B. (1978). The scientific use of factor analysis in behavioral and life sciences. Plenum. Chakraborty, D. (2019). Versatile performance in VUCA world: A case study. Ushus-Journal of Business</w:t>
      </w:r>
    </w:p>
    <w:p>
      <w:pPr>
        <w:spacing w:line="149" w:lineRule="exact" w:before="0"/>
        <w:ind w:left="819" w:right="0" w:firstLine="0"/>
        <w:jc w:val="left"/>
        <w:rPr>
          <w:sz w:val="18"/>
        </w:rPr>
      </w:pPr>
      <w:r>
        <w:rPr>
          <w:color w:val="231F20"/>
          <w:sz w:val="18"/>
        </w:rPr>
        <w:t>Management, 18(4), 1-8.</w:t>
      </w:r>
    </w:p>
    <w:p>
      <w:pPr>
        <w:spacing w:line="254" w:lineRule="auto" w:before="70"/>
        <w:ind w:left="819" w:right="250" w:hanging="567"/>
        <w:jc w:val="both"/>
        <w:rPr>
          <w:sz w:val="18"/>
        </w:rPr>
      </w:pPr>
      <w:r>
        <w:rPr>
          <w:color w:val="231F20"/>
          <w:sz w:val="18"/>
        </w:rPr>
        <w:t>Chauhan, R., Rani, R. &amp; Pranali (2020). VUCA world and environmental law.   International Journal   of Psychosocial Rehabilitation, 24(3), 1607-1611. https://doi:</w:t>
      </w:r>
      <w:r>
        <w:rPr>
          <w:color w:val="231F20"/>
          <w:spacing w:val="-11"/>
          <w:sz w:val="18"/>
        </w:rPr>
        <w:t> </w:t>
      </w:r>
      <w:r>
        <w:rPr>
          <w:color w:val="231F20"/>
          <w:sz w:val="18"/>
        </w:rPr>
        <w:t>10.37200/IJPR/V24I3/PR200908.</w:t>
      </w:r>
    </w:p>
    <w:p>
      <w:pPr>
        <w:spacing w:line="254" w:lineRule="auto" w:before="58"/>
        <w:ind w:left="819" w:right="249" w:hanging="567"/>
        <w:jc w:val="both"/>
        <w:rPr>
          <w:sz w:val="18"/>
        </w:rPr>
      </w:pPr>
      <w:r>
        <w:rPr>
          <w:color w:val="231F20"/>
          <w:sz w:val="18"/>
        </w:rPr>
        <w:t>Chen, X.H., Tee, K. &amp; Chang, V. (2022). Accelerating innovation efficiency through agile leadership: The</w:t>
      </w:r>
      <w:r>
        <w:rPr>
          <w:color w:val="231F20"/>
          <w:spacing w:val="-5"/>
          <w:sz w:val="18"/>
        </w:rPr>
        <w:t> </w:t>
      </w:r>
      <w:r>
        <w:rPr>
          <w:color w:val="231F20"/>
          <w:sz w:val="18"/>
        </w:rPr>
        <w:t>CEO</w:t>
      </w:r>
      <w:r>
        <w:rPr>
          <w:color w:val="231F20"/>
          <w:spacing w:val="-4"/>
          <w:sz w:val="18"/>
        </w:rPr>
        <w:t> </w:t>
      </w:r>
      <w:r>
        <w:rPr>
          <w:color w:val="231F20"/>
          <w:sz w:val="18"/>
        </w:rPr>
        <w:t>network</w:t>
      </w:r>
      <w:r>
        <w:rPr>
          <w:color w:val="231F20"/>
          <w:spacing w:val="-4"/>
          <w:sz w:val="18"/>
        </w:rPr>
        <w:t> </w:t>
      </w:r>
      <w:r>
        <w:rPr>
          <w:color w:val="231F20"/>
          <w:sz w:val="18"/>
        </w:rPr>
        <w:t>effects</w:t>
      </w:r>
      <w:r>
        <w:rPr>
          <w:color w:val="231F20"/>
          <w:spacing w:val="-4"/>
          <w:sz w:val="18"/>
        </w:rPr>
        <w:t> </w:t>
      </w:r>
      <w:r>
        <w:rPr>
          <w:color w:val="231F20"/>
          <w:sz w:val="18"/>
        </w:rPr>
        <w:t>in</w:t>
      </w:r>
      <w:r>
        <w:rPr>
          <w:color w:val="231F20"/>
          <w:spacing w:val="-4"/>
          <w:sz w:val="18"/>
        </w:rPr>
        <w:t> </w:t>
      </w:r>
      <w:r>
        <w:rPr>
          <w:color w:val="231F20"/>
          <w:sz w:val="18"/>
        </w:rPr>
        <w:t>China.</w:t>
      </w:r>
      <w:r>
        <w:rPr>
          <w:color w:val="231F20"/>
          <w:spacing w:val="-5"/>
          <w:sz w:val="18"/>
        </w:rPr>
        <w:t> </w:t>
      </w:r>
      <w:r>
        <w:rPr>
          <w:color w:val="231F20"/>
          <w:sz w:val="18"/>
        </w:rPr>
        <w:t>Technological</w:t>
      </w:r>
      <w:r>
        <w:rPr>
          <w:color w:val="231F20"/>
          <w:spacing w:val="-5"/>
          <w:sz w:val="18"/>
        </w:rPr>
        <w:t> </w:t>
      </w:r>
      <w:r>
        <w:rPr>
          <w:color w:val="231F20"/>
          <w:sz w:val="18"/>
        </w:rPr>
        <w:t>Forecasting</w:t>
      </w:r>
      <w:r>
        <w:rPr>
          <w:color w:val="231F20"/>
          <w:spacing w:val="-5"/>
          <w:sz w:val="18"/>
        </w:rPr>
        <w:t> </w:t>
      </w:r>
      <w:r>
        <w:rPr>
          <w:color w:val="231F20"/>
          <w:sz w:val="18"/>
        </w:rPr>
        <w:t>&amp;</w:t>
      </w:r>
      <w:r>
        <w:rPr>
          <w:color w:val="231F20"/>
          <w:spacing w:val="-4"/>
          <w:sz w:val="18"/>
        </w:rPr>
        <w:t> </w:t>
      </w:r>
      <w:r>
        <w:rPr>
          <w:color w:val="231F20"/>
          <w:sz w:val="18"/>
        </w:rPr>
        <w:t>Social</w:t>
      </w:r>
      <w:r>
        <w:rPr>
          <w:color w:val="231F20"/>
          <w:spacing w:val="-5"/>
          <w:sz w:val="18"/>
        </w:rPr>
        <w:t> </w:t>
      </w:r>
      <w:r>
        <w:rPr>
          <w:color w:val="231F20"/>
          <w:sz w:val="18"/>
        </w:rPr>
        <w:t>Change,</w:t>
      </w:r>
      <w:r>
        <w:rPr>
          <w:color w:val="231F20"/>
          <w:spacing w:val="-5"/>
          <w:sz w:val="18"/>
        </w:rPr>
        <w:t> </w:t>
      </w:r>
      <w:r>
        <w:rPr>
          <w:color w:val="231F20"/>
          <w:sz w:val="18"/>
        </w:rPr>
        <w:t>179.</w:t>
      </w:r>
      <w:r>
        <w:rPr>
          <w:color w:val="231F20"/>
          <w:spacing w:val="-4"/>
          <w:sz w:val="18"/>
        </w:rPr>
        <w:t> </w:t>
      </w:r>
      <w:hyperlink r:id="rId38">
        <w:r>
          <w:rPr>
            <w:color w:val="231F20"/>
            <w:sz w:val="18"/>
          </w:rPr>
          <w:t>https://doi.</w:t>
        </w:r>
      </w:hyperlink>
      <w:r>
        <w:rPr>
          <w:color w:val="231F20"/>
          <w:sz w:val="18"/>
        </w:rPr>
        <w:t> </w:t>
      </w:r>
      <w:hyperlink r:id="rId38">
        <w:r>
          <w:rPr>
            <w:color w:val="231F20"/>
            <w:sz w:val="18"/>
          </w:rPr>
          <w:t>org/10.1016/j.techfore.2022.121602</w:t>
        </w:r>
      </w:hyperlink>
      <w:r>
        <w:rPr>
          <w:color w:val="231F20"/>
          <w:sz w:val="18"/>
        </w:rPr>
        <w:t>.</w:t>
      </w:r>
    </w:p>
    <w:p>
      <w:pPr>
        <w:spacing w:before="58"/>
        <w:ind w:left="252" w:right="0" w:firstLine="0"/>
        <w:jc w:val="both"/>
        <w:rPr>
          <w:sz w:val="18"/>
        </w:rPr>
      </w:pPr>
      <w:r>
        <w:rPr>
          <w:color w:val="231F20"/>
          <w:sz w:val="18"/>
        </w:rPr>
        <w:t>Cingöz, İ. (2020, 29 Nisan). Salgın sonrası yeni dünya düzeni. Ticari Hayat, 1-2.</w:t>
      </w:r>
    </w:p>
    <w:p>
      <w:pPr>
        <w:spacing w:line="254" w:lineRule="auto" w:before="70"/>
        <w:ind w:left="819" w:right="250" w:hanging="567"/>
        <w:jc w:val="both"/>
        <w:rPr>
          <w:sz w:val="18"/>
        </w:rPr>
      </w:pPr>
      <w:r>
        <w:rPr>
          <w:color w:val="231F20"/>
          <w:sz w:val="18"/>
        </w:rPr>
        <w:t>Cinnioğlu, H. &amp; Salha, H. (2019). VUCA dünyasında turizm işletmeleri ve çevik liderlik. 3. Uluslararası Turizmin Geleceği Kongresi: İnovasyon, Girişimcilik ve Sürdürebilirlik Kongresi (Futourism 2019) Bildiriler Kitabı, 92-96.</w:t>
      </w:r>
    </w:p>
    <w:p>
      <w:pPr>
        <w:spacing w:line="254" w:lineRule="auto" w:before="58"/>
        <w:ind w:left="819" w:right="249" w:hanging="567"/>
        <w:jc w:val="both"/>
        <w:rPr>
          <w:sz w:val="18"/>
        </w:rPr>
      </w:pPr>
      <w:r>
        <w:rPr>
          <w:color w:val="231F20"/>
          <w:sz w:val="18"/>
        </w:rPr>
        <w:t>Cinnioğlu,</w:t>
      </w:r>
      <w:r>
        <w:rPr>
          <w:color w:val="231F20"/>
          <w:spacing w:val="-11"/>
          <w:sz w:val="18"/>
        </w:rPr>
        <w:t> </w:t>
      </w:r>
      <w:r>
        <w:rPr>
          <w:color w:val="231F20"/>
          <w:sz w:val="18"/>
        </w:rPr>
        <w:t>H.</w:t>
      </w:r>
      <w:r>
        <w:rPr>
          <w:color w:val="231F20"/>
          <w:spacing w:val="-11"/>
          <w:sz w:val="18"/>
        </w:rPr>
        <w:t> </w:t>
      </w:r>
      <w:r>
        <w:rPr>
          <w:color w:val="231F20"/>
          <w:sz w:val="18"/>
        </w:rPr>
        <w:t>(2020,</w:t>
      </w:r>
      <w:r>
        <w:rPr>
          <w:color w:val="231F20"/>
          <w:spacing w:val="-10"/>
          <w:sz w:val="18"/>
        </w:rPr>
        <w:t> </w:t>
      </w:r>
      <w:r>
        <w:rPr>
          <w:color w:val="231F20"/>
          <w:sz w:val="18"/>
        </w:rPr>
        <w:t>October</w:t>
      </w:r>
      <w:r>
        <w:rPr>
          <w:color w:val="231F20"/>
          <w:spacing w:val="-11"/>
          <w:sz w:val="18"/>
        </w:rPr>
        <w:t> </w:t>
      </w:r>
      <w:r>
        <w:rPr>
          <w:color w:val="231F20"/>
          <w:sz w:val="18"/>
        </w:rPr>
        <w:t>5).</w:t>
      </w:r>
      <w:r>
        <w:rPr>
          <w:color w:val="231F20"/>
          <w:spacing w:val="-11"/>
          <w:sz w:val="18"/>
        </w:rPr>
        <w:t> </w:t>
      </w:r>
      <w:r>
        <w:rPr>
          <w:color w:val="231F20"/>
          <w:sz w:val="18"/>
        </w:rPr>
        <w:t>A</w:t>
      </w:r>
      <w:r>
        <w:rPr>
          <w:color w:val="231F20"/>
          <w:spacing w:val="-11"/>
          <w:sz w:val="18"/>
        </w:rPr>
        <w:t> </w:t>
      </w:r>
      <w:r>
        <w:rPr>
          <w:color w:val="231F20"/>
          <w:sz w:val="18"/>
        </w:rPr>
        <w:t>review</w:t>
      </w:r>
      <w:r>
        <w:rPr>
          <w:color w:val="231F20"/>
          <w:spacing w:val="-10"/>
          <w:sz w:val="18"/>
        </w:rPr>
        <w:t> </w:t>
      </w:r>
      <w:r>
        <w:rPr>
          <w:color w:val="231F20"/>
          <w:sz w:val="18"/>
        </w:rPr>
        <w:t>of</w:t>
      </w:r>
      <w:r>
        <w:rPr>
          <w:color w:val="231F20"/>
          <w:spacing w:val="-11"/>
          <w:sz w:val="18"/>
        </w:rPr>
        <w:t> </w:t>
      </w:r>
      <w:r>
        <w:rPr>
          <w:color w:val="231F20"/>
          <w:sz w:val="18"/>
        </w:rPr>
        <w:t>modern</w:t>
      </w:r>
      <w:r>
        <w:rPr>
          <w:color w:val="231F20"/>
          <w:spacing w:val="-11"/>
          <w:sz w:val="18"/>
        </w:rPr>
        <w:t> </w:t>
      </w:r>
      <w:r>
        <w:rPr>
          <w:color w:val="231F20"/>
          <w:sz w:val="18"/>
        </w:rPr>
        <w:t>leadership</w:t>
      </w:r>
      <w:r>
        <w:rPr>
          <w:color w:val="231F20"/>
          <w:spacing w:val="-10"/>
          <w:sz w:val="18"/>
        </w:rPr>
        <w:t> </w:t>
      </w:r>
      <w:r>
        <w:rPr>
          <w:color w:val="231F20"/>
          <w:sz w:val="18"/>
        </w:rPr>
        <w:t>styles</w:t>
      </w:r>
      <w:r>
        <w:rPr>
          <w:color w:val="231F20"/>
          <w:spacing w:val="-11"/>
          <w:sz w:val="18"/>
        </w:rPr>
        <w:t> </w:t>
      </w:r>
      <w:r>
        <w:rPr>
          <w:color w:val="231F20"/>
          <w:sz w:val="18"/>
        </w:rPr>
        <w:t>in</w:t>
      </w:r>
      <w:r>
        <w:rPr>
          <w:color w:val="231F20"/>
          <w:spacing w:val="-11"/>
          <w:sz w:val="18"/>
        </w:rPr>
        <w:t> </w:t>
      </w:r>
      <w:r>
        <w:rPr>
          <w:color w:val="231F20"/>
          <w:sz w:val="18"/>
        </w:rPr>
        <w:t>perspective</w:t>
      </w:r>
      <w:r>
        <w:rPr>
          <w:color w:val="231F20"/>
          <w:spacing w:val="-10"/>
          <w:sz w:val="18"/>
        </w:rPr>
        <w:t> </w:t>
      </w:r>
      <w:r>
        <w:rPr>
          <w:color w:val="231F20"/>
          <w:sz w:val="18"/>
        </w:rPr>
        <w:t>of</w:t>
      </w:r>
      <w:r>
        <w:rPr>
          <w:color w:val="231F20"/>
          <w:spacing w:val="-11"/>
          <w:sz w:val="18"/>
        </w:rPr>
        <w:t> </w:t>
      </w:r>
      <w:r>
        <w:rPr>
          <w:color w:val="231F20"/>
          <w:sz w:val="18"/>
        </w:rPr>
        <w:t>industry</w:t>
      </w:r>
      <w:r>
        <w:rPr>
          <w:color w:val="231F20"/>
          <w:spacing w:val="-11"/>
          <w:sz w:val="18"/>
        </w:rPr>
        <w:t> </w:t>
      </w:r>
      <w:r>
        <w:rPr>
          <w:color w:val="231F20"/>
          <w:sz w:val="18"/>
        </w:rPr>
        <w:t>4.0.</w:t>
      </w:r>
      <w:r>
        <w:rPr>
          <w:color w:val="231F20"/>
          <w:spacing w:val="-10"/>
          <w:sz w:val="18"/>
        </w:rPr>
        <w:t> </w:t>
      </w:r>
      <w:r>
        <w:rPr>
          <w:color w:val="231F20"/>
          <w:sz w:val="18"/>
        </w:rPr>
        <w:t>In</w:t>
      </w:r>
      <w:r>
        <w:rPr>
          <w:color w:val="231F20"/>
          <w:spacing w:val="-11"/>
          <w:sz w:val="18"/>
        </w:rPr>
        <w:t> </w:t>
      </w:r>
      <w:r>
        <w:rPr>
          <w:color w:val="231F20"/>
          <w:sz w:val="18"/>
        </w:rPr>
        <w:t>B. Akkaya</w:t>
      </w:r>
      <w:r>
        <w:rPr>
          <w:color w:val="231F20"/>
          <w:spacing w:val="-4"/>
          <w:sz w:val="18"/>
        </w:rPr>
        <w:t> </w:t>
      </w:r>
      <w:r>
        <w:rPr>
          <w:color w:val="231F20"/>
          <w:sz w:val="18"/>
        </w:rPr>
        <w:t>(Ed.).</w:t>
      </w:r>
      <w:r>
        <w:rPr>
          <w:color w:val="231F20"/>
          <w:spacing w:val="-3"/>
          <w:sz w:val="18"/>
        </w:rPr>
        <w:t> </w:t>
      </w:r>
      <w:r>
        <w:rPr>
          <w:color w:val="231F20"/>
          <w:sz w:val="18"/>
        </w:rPr>
        <w:t>Agile</w:t>
      </w:r>
      <w:r>
        <w:rPr>
          <w:color w:val="231F20"/>
          <w:spacing w:val="-4"/>
          <w:sz w:val="18"/>
        </w:rPr>
        <w:t> </w:t>
      </w:r>
      <w:r>
        <w:rPr>
          <w:color w:val="231F20"/>
          <w:sz w:val="18"/>
        </w:rPr>
        <w:t>business</w:t>
      </w:r>
      <w:r>
        <w:rPr>
          <w:color w:val="231F20"/>
          <w:spacing w:val="-3"/>
          <w:sz w:val="18"/>
        </w:rPr>
        <w:t> </w:t>
      </w:r>
      <w:r>
        <w:rPr>
          <w:color w:val="231F20"/>
          <w:sz w:val="18"/>
        </w:rPr>
        <w:t>leadership</w:t>
      </w:r>
      <w:r>
        <w:rPr>
          <w:color w:val="231F20"/>
          <w:spacing w:val="-4"/>
          <w:sz w:val="18"/>
        </w:rPr>
        <w:t> </w:t>
      </w:r>
      <w:r>
        <w:rPr>
          <w:color w:val="231F20"/>
          <w:sz w:val="18"/>
        </w:rPr>
        <w:t>methods</w:t>
      </w:r>
      <w:r>
        <w:rPr>
          <w:color w:val="231F20"/>
          <w:spacing w:val="-3"/>
          <w:sz w:val="18"/>
        </w:rPr>
        <w:t> </w:t>
      </w:r>
      <w:r>
        <w:rPr>
          <w:color w:val="231F20"/>
          <w:sz w:val="18"/>
        </w:rPr>
        <w:t>for</w:t>
      </w:r>
      <w:r>
        <w:rPr>
          <w:color w:val="231F20"/>
          <w:spacing w:val="-4"/>
          <w:sz w:val="18"/>
        </w:rPr>
        <w:t> </w:t>
      </w:r>
      <w:r>
        <w:rPr>
          <w:color w:val="231F20"/>
          <w:sz w:val="18"/>
        </w:rPr>
        <w:t>industry</w:t>
      </w:r>
      <w:r>
        <w:rPr>
          <w:color w:val="231F20"/>
          <w:spacing w:val="-3"/>
          <w:sz w:val="18"/>
        </w:rPr>
        <w:t> </w:t>
      </w:r>
      <w:r>
        <w:rPr>
          <w:color w:val="231F20"/>
          <w:sz w:val="18"/>
        </w:rPr>
        <w:t>4.0</w:t>
      </w:r>
      <w:r>
        <w:rPr>
          <w:color w:val="231F20"/>
          <w:spacing w:val="-4"/>
          <w:sz w:val="18"/>
        </w:rPr>
        <w:t> </w:t>
      </w:r>
      <w:r>
        <w:rPr>
          <w:color w:val="231F20"/>
          <w:sz w:val="18"/>
        </w:rPr>
        <w:t>(pp.</w:t>
      </w:r>
      <w:r>
        <w:rPr>
          <w:color w:val="231F20"/>
          <w:spacing w:val="-3"/>
          <w:sz w:val="18"/>
        </w:rPr>
        <w:t> </w:t>
      </w:r>
      <w:r>
        <w:rPr>
          <w:color w:val="231F20"/>
          <w:sz w:val="18"/>
        </w:rPr>
        <w:t>1-23).</w:t>
      </w:r>
      <w:r>
        <w:rPr>
          <w:color w:val="231F20"/>
          <w:spacing w:val="-4"/>
          <w:sz w:val="18"/>
        </w:rPr>
        <w:t> </w:t>
      </w:r>
      <w:r>
        <w:rPr>
          <w:color w:val="231F20"/>
          <w:sz w:val="18"/>
        </w:rPr>
        <w:t>Emerald</w:t>
      </w:r>
      <w:r>
        <w:rPr>
          <w:color w:val="231F20"/>
          <w:spacing w:val="-3"/>
          <w:sz w:val="18"/>
        </w:rPr>
        <w:t> </w:t>
      </w:r>
      <w:r>
        <w:rPr>
          <w:color w:val="231F20"/>
          <w:sz w:val="18"/>
        </w:rPr>
        <w:t>Publishing Limited.</w:t>
      </w:r>
      <w:r>
        <w:rPr>
          <w:color w:val="231F20"/>
          <w:spacing w:val="-1"/>
          <w:sz w:val="18"/>
        </w:rPr>
        <w:t> </w:t>
      </w:r>
      <w:hyperlink r:id="rId39">
        <w:r>
          <w:rPr>
            <w:color w:val="231F20"/>
            <w:sz w:val="18"/>
          </w:rPr>
          <w:t>https://doi.org/10.1108/978-1-80043-380-920201002</w:t>
        </w:r>
      </w:hyperlink>
    </w:p>
    <w:p>
      <w:pPr>
        <w:spacing w:line="254" w:lineRule="auto" w:before="59"/>
        <w:ind w:left="819" w:right="248" w:hanging="567"/>
        <w:jc w:val="both"/>
        <w:rPr>
          <w:sz w:val="18"/>
        </w:rPr>
      </w:pPr>
      <w:r>
        <w:rPr>
          <w:color w:val="231F20"/>
          <w:sz w:val="18"/>
        </w:rPr>
        <w:t>Codreanu, A. (2016). A VUCA action framework for a VUCA environment. Leadership challenges and solutions. Journal of Defense Resources Management (JoDRM), 7(2), 31-38.</w:t>
      </w:r>
    </w:p>
    <w:p>
      <w:pPr>
        <w:spacing w:line="254" w:lineRule="auto" w:before="57"/>
        <w:ind w:left="819" w:right="250" w:hanging="567"/>
        <w:jc w:val="both"/>
        <w:rPr>
          <w:sz w:val="18"/>
        </w:rPr>
      </w:pPr>
      <w:r>
        <w:rPr>
          <w:color w:val="231F20"/>
          <w:sz w:val="18"/>
        </w:rPr>
        <w:t>Coleman, J. (2017, January 04). The best strategic leaders balance agility and consistency. Harvard Business Review, pp. 1–5</w:t>
      </w:r>
    </w:p>
    <w:p>
      <w:pPr>
        <w:spacing w:line="254" w:lineRule="auto" w:before="58"/>
        <w:ind w:left="819" w:right="250" w:hanging="567"/>
        <w:jc w:val="both"/>
        <w:rPr>
          <w:sz w:val="18"/>
        </w:rPr>
      </w:pPr>
      <w:r>
        <w:rPr>
          <w:color w:val="231F20"/>
          <w:sz w:val="18"/>
        </w:rPr>
        <w:t>Costello,</w:t>
      </w:r>
      <w:r>
        <w:rPr>
          <w:color w:val="231F20"/>
          <w:spacing w:val="-24"/>
          <w:sz w:val="18"/>
        </w:rPr>
        <w:t> </w:t>
      </w:r>
      <w:r>
        <w:rPr>
          <w:color w:val="231F20"/>
          <w:sz w:val="18"/>
        </w:rPr>
        <w:t>A.B.</w:t>
      </w:r>
      <w:r>
        <w:rPr>
          <w:color w:val="231F20"/>
          <w:spacing w:val="-23"/>
          <w:sz w:val="18"/>
        </w:rPr>
        <w:t> </w:t>
      </w:r>
      <w:r>
        <w:rPr>
          <w:color w:val="231F20"/>
          <w:sz w:val="18"/>
        </w:rPr>
        <w:t>&amp;</w:t>
      </w:r>
      <w:r>
        <w:rPr>
          <w:color w:val="231F20"/>
          <w:spacing w:val="-23"/>
          <w:sz w:val="18"/>
        </w:rPr>
        <w:t> </w:t>
      </w:r>
      <w:r>
        <w:rPr>
          <w:color w:val="231F20"/>
          <w:sz w:val="18"/>
        </w:rPr>
        <w:t>Osborne,</w:t>
      </w:r>
      <w:r>
        <w:rPr>
          <w:color w:val="231F20"/>
          <w:spacing w:val="-23"/>
          <w:sz w:val="18"/>
        </w:rPr>
        <w:t> </w:t>
      </w:r>
      <w:r>
        <w:rPr>
          <w:color w:val="231F20"/>
          <w:sz w:val="18"/>
        </w:rPr>
        <w:t>J.W.</w:t>
      </w:r>
      <w:r>
        <w:rPr>
          <w:color w:val="231F20"/>
          <w:spacing w:val="-23"/>
          <w:sz w:val="18"/>
        </w:rPr>
        <w:t> </w:t>
      </w:r>
      <w:r>
        <w:rPr>
          <w:color w:val="231F20"/>
          <w:sz w:val="18"/>
        </w:rPr>
        <w:t>(2005).</w:t>
      </w:r>
      <w:r>
        <w:rPr>
          <w:color w:val="231F20"/>
          <w:spacing w:val="-24"/>
          <w:sz w:val="18"/>
        </w:rPr>
        <w:t> </w:t>
      </w:r>
      <w:r>
        <w:rPr>
          <w:color w:val="231F20"/>
          <w:sz w:val="18"/>
        </w:rPr>
        <w:t>Best</w:t>
      </w:r>
      <w:r>
        <w:rPr>
          <w:color w:val="231F20"/>
          <w:spacing w:val="-23"/>
          <w:sz w:val="18"/>
        </w:rPr>
        <w:t> </w:t>
      </w:r>
      <w:r>
        <w:rPr>
          <w:color w:val="231F20"/>
          <w:sz w:val="18"/>
        </w:rPr>
        <w:t>practices</w:t>
      </w:r>
      <w:r>
        <w:rPr>
          <w:color w:val="231F20"/>
          <w:spacing w:val="-23"/>
          <w:sz w:val="18"/>
        </w:rPr>
        <w:t> </w:t>
      </w:r>
      <w:r>
        <w:rPr>
          <w:color w:val="231F20"/>
          <w:sz w:val="18"/>
        </w:rPr>
        <w:t>in</w:t>
      </w:r>
      <w:r>
        <w:rPr>
          <w:color w:val="231F20"/>
          <w:spacing w:val="-23"/>
          <w:sz w:val="18"/>
        </w:rPr>
        <w:t> </w:t>
      </w:r>
      <w:r>
        <w:rPr>
          <w:color w:val="231F20"/>
          <w:sz w:val="18"/>
        </w:rPr>
        <w:t>exploratory</w:t>
      </w:r>
      <w:r>
        <w:rPr>
          <w:color w:val="231F20"/>
          <w:spacing w:val="-23"/>
          <w:sz w:val="18"/>
        </w:rPr>
        <w:t> </w:t>
      </w:r>
      <w:r>
        <w:rPr>
          <w:color w:val="231F20"/>
          <w:sz w:val="18"/>
        </w:rPr>
        <w:t>factor</w:t>
      </w:r>
      <w:r>
        <w:rPr>
          <w:color w:val="231F20"/>
          <w:spacing w:val="-23"/>
          <w:sz w:val="18"/>
        </w:rPr>
        <w:t> </w:t>
      </w:r>
      <w:r>
        <w:rPr>
          <w:color w:val="231F20"/>
          <w:sz w:val="18"/>
        </w:rPr>
        <w:t>analysis:</w:t>
      </w:r>
      <w:r>
        <w:rPr>
          <w:color w:val="231F20"/>
          <w:spacing w:val="-24"/>
          <w:sz w:val="18"/>
        </w:rPr>
        <w:t> </w:t>
      </w:r>
      <w:r>
        <w:rPr>
          <w:color w:val="231F20"/>
          <w:sz w:val="18"/>
        </w:rPr>
        <w:t>Four</w:t>
      </w:r>
      <w:r>
        <w:rPr>
          <w:color w:val="231F20"/>
          <w:spacing w:val="-23"/>
          <w:sz w:val="18"/>
        </w:rPr>
        <w:t> </w:t>
      </w:r>
      <w:r>
        <w:rPr>
          <w:color w:val="231F20"/>
          <w:sz w:val="18"/>
        </w:rPr>
        <w:t>recommendations for getting the most from your analysis. Practical Assessment, 10(7),</w:t>
      </w:r>
      <w:r>
        <w:rPr>
          <w:color w:val="231F20"/>
          <w:spacing w:val="-6"/>
          <w:sz w:val="18"/>
        </w:rPr>
        <w:t> </w:t>
      </w:r>
      <w:r>
        <w:rPr>
          <w:color w:val="231F20"/>
          <w:sz w:val="18"/>
        </w:rPr>
        <w:t>1-9</w:t>
      </w:r>
    </w:p>
    <w:p>
      <w:pPr>
        <w:spacing w:line="254" w:lineRule="auto" w:before="58"/>
        <w:ind w:left="819" w:right="248" w:hanging="567"/>
        <w:jc w:val="both"/>
        <w:rPr>
          <w:sz w:val="18"/>
        </w:rPr>
      </w:pPr>
      <w:r>
        <w:rPr>
          <w:color w:val="231F20"/>
          <w:sz w:val="18"/>
        </w:rPr>
        <w:t>Cousins, B. (2018). Design thinking: Organizational learning in VUCA environments.Academy of Strategic Management Journal, 17(2), 1–18. Retrieved from </w:t>
      </w:r>
      <w:hyperlink r:id="rId40">
        <w:r>
          <w:rPr>
            <w:color w:val="231F20"/>
            <w:sz w:val="18"/>
          </w:rPr>
          <w:t>https://www.abacademies.org/</w:t>
        </w:r>
      </w:hyperlink>
      <w:r>
        <w:rPr>
          <w:color w:val="231F20"/>
          <w:sz w:val="18"/>
        </w:rPr>
        <w:t> </w:t>
      </w:r>
      <w:hyperlink r:id="rId40">
        <w:r>
          <w:rPr>
            <w:color w:val="231F20"/>
            <w:sz w:val="18"/>
          </w:rPr>
          <w:t>articles/design-thinking-organizational-learning-in-vuca-environments-7117.html</w:t>
        </w:r>
      </w:hyperlink>
      <w:r>
        <w:rPr>
          <w:color w:val="231F20"/>
          <w:sz w:val="18"/>
        </w:rPr>
        <w:t>. Erişim Tarihi: 12.01.2021</w:t>
      </w:r>
    </w:p>
    <w:p>
      <w:pPr>
        <w:spacing w:line="321" w:lineRule="auto" w:before="59"/>
        <w:ind w:left="252" w:right="573" w:firstLine="0"/>
        <w:jc w:val="both"/>
        <w:rPr>
          <w:sz w:val="18"/>
        </w:rPr>
      </w:pPr>
      <w:r>
        <w:rPr>
          <w:color w:val="231F20"/>
          <w:sz w:val="18"/>
        </w:rPr>
        <w:t>Creswell, J.W. (2017). Araştırma deseni (S.B. Demir, Çev.; 3.bs.). Ankara: Eğiten Kitap Yayıncılık. Çapan, A. (2019, Temmuz). Vuca dünyasında liderlik. Sektörüm Akıllı İşler Dergisi.</w:t>
      </w:r>
    </w:p>
    <w:p>
      <w:pPr>
        <w:spacing w:line="254" w:lineRule="auto" w:before="0"/>
        <w:ind w:left="819" w:right="250" w:hanging="567"/>
        <w:jc w:val="both"/>
        <w:rPr>
          <w:sz w:val="18"/>
        </w:rPr>
      </w:pPr>
      <w:r>
        <w:rPr>
          <w:color w:val="231F20"/>
          <w:sz w:val="18"/>
        </w:rPr>
        <w:t>Çokluk,</w:t>
      </w:r>
      <w:r>
        <w:rPr>
          <w:color w:val="231F20"/>
          <w:spacing w:val="-9"/>
          <w:sz w:val="18"/>
        </w:rPr>
        <w:t> </w:t>
      </w:r>
      <w:r>
        <w:rPr>
          <w:color w:val="231F20"/>
          <w:sz w:val="18"/>
        </w:rPr>
        <w:t>Ö.,</w:t>
      </w:r>
      <w:r>
        <w:rPr>
          <w:color w:val="231F20"/>
          <w:spacing w:val="-9"/>
          <w:sz w:val="18"/>
        </w:rPr>
        <w:t> </w:t>
      </w:r>
      <w:r>
        <w:rPr>
          <w:color w:val="231F20"/>
          <w:sz w:val="18"/>
        </w:rPr>
        <w:t>Şekercioğlu,</w:t>
      </w:r>
      <w:r>
        <w:rPr>
          <w:color w:val="231F20"/>
          <w:spacing w:val="-8"/>
          <w:sz w:val="18"/>
        </w:rPr>
        <w:t> </w:t>
      </w:r>
      <w:r>
        <w:rPr>
          <w:color w:val="231F20"/>
          <w:sz w:val="18"/>
        </w:rPr>
        <w:t>G.</w:t>
      </w:r>
      <w:r>
        <w:rPr>
          <w:color w:val="231F20"/>
          <w:spacing w:val="-9"/>
          <w:sz w:val="18"/>
        </w:rPr>
        <w:t> </w:t>
      </w:r>
      <w:r>
        <w:rPr>
          <w:color w:val="231F20"/>
          <w:sz w:val="18"/>
        </w:rPr>
        <w:t>&amp;</w:t>
      </w:r>
      <w:r>
        <w:rPr>
          <w:color w:val="231F20"/>
          <w:spacing w:val="-8"/>
          <w:sz w:val="18"/>
        </w:rPr>
        <w:t> </w:t>
      </w:r>
      <w:r>
        <w:rPr>
          <w:color w:val="231F20"/>
          <w:sz w:val="18"/>
        </w:rPr>
        <w:t>Büyüköztürk,</w:t>
      </w:r>
      <w:r>
        <w:rPr>
          <w:color w:val="231F20"/>
          <w:spacing w:val="-9"/>
          <w:sz w:val="18"/>
        </w:rPr>
        <w:t> </w:t>
      </w:r>
      <w:r>
        <w:rPr>
          <w:color w:val="231F20"/>
          <w:sz w:val="18"/>
        </w:rPr>
        <w:t>Ş.</w:t>
      </w:r>
      <w:r>
        <w:rPr>
          <w:color w:val="231F20"/>
          <w:spacing w:val="-9"/>
          <w:sz w:val="18"/>
        </w:rPr>
        <w:t> </w:t>
      </w:r>
      <w:r>
        <w:rPr>
          <w:color w:val="231F20"/>
          <w:sz w:val="18"/>
        </w:rPr>
        <w:t>(2016).</w:t>
      </w:r>
      <w:r>
        <w:rPr>
          <w:color w:val="231F20"/>
          <w:spacing w:val="-8"/>
          <w:sz w:val="18"/>
        </w:rPr>
        <w:t> </w:t>
      </w:r>
      <w:r>
        <w:rPr>
          <w:color w:val="231F20"/>
          <w:sz w:val="18"/>
        </w:rPr>
        <w:t>Sosyal</w:t>
      </w:r>
      <w:r>
        <w:rPr>
          <w:color w:val="231F20"/>
          <w:spacing w:val="-9"/>
          <w:sz w:val="18"/>
        </w:rPr>
        <w:t> </w:t>
      </w:r>
      <w:r>
        <w:rPr>
          <w:color w:val="231F20"/>
          <w:sz w:val="18"/>
        </w:rPr>
        <w:t>bilimler</w:t>
      </w:r>
      <w:r>
        <w:rPr>
          <w:color w:val="231F20"/>
          <w:spacing w:val="-8"/>
          <w:sz w:val="18"/>
        </w:rPr>
        <w:t> </w:t>
      </w:r>
      <w:r>
        <w:rPr>
          <w:color w:val="231F20"/>
          <w:sz w:val="18"/>
        </w:rPr>
        <w:t>için</w:t>
      </w:r>
      <w:r>
        <w:rPr>
          <w:color w:val="231F20"/>
          <w:spacing w:val="-9"/>
          <w:sz w:val="18"/>
        </w:rPr>
        <w:t> </w:t>
      </w:r>
      <w:r>
        <w:rPr>
          <w:color w:val="231F20"/>
          <w:sz w:val="18"/>
        </w:rPr>
        <w:t>çok</w:t>
      </w:r>
      <w:r>
        <w:rPr>
          <w:color w:val="231F20"/>
          <w:spacing w:val="-9"/>
          <w:sz w:val="18"/>
        </w:rPr>
        <w:t> </w:t>
      </w:r>
      <w:r>
        <w:rPr>
          <w:color w:val="231F20"/>
          <w:sz w:val="18"/>
        </w:rPr>
        <w:t>değişkenli</w:t>
      </w:r>
      <w:r>
        <w:rPr>
          <w:color w:val="231F20"/>
          <w:spacing w:val="-8"/>
          <w:sz w:val="18"/>
        </w:rPr>
        <w:t> </w:t>
      </w:r>
      <w:r>
        <w:rPr>
          <w:color w:val="231F20"/>
          <w:sz w:val="18"/>
        </w:rPr>
        <w:t>istatistik</w:t>
      </w:r>
      <w:r>
        <w:rPr>
          <w:color w:val="231F20"/>
          <w:spacing w:val="-9"/>
          <w:sz w:val="18"/>
        </w:rPr>
        <w:t> </w:t>
      </w:r>
      <w:r>
        <w:rPr>
          <w:color w:val="231F20"/>
          <w:sz w:val="18"/>
        </w:rPr>
        <w:t>SPSS ve LISREL uygulamaları (4.bs.). Ankara: Pegem</w:t>
      </w:r>
      <w:r>
        <w:rPr>
          <w:color w:val="231F20"/>
          <w:spacing w:val="-4"/>
          <w:sz w:val="18"/>
        </w:rPr>
        <w:t> </w:t>
      </w:r>
      <w:r>
        <w:rPr>
          <w:color w:val="231F20"/>
          <w:sz w:val="18"/>
        </w:rPr>
        <w:t>Akademi.</w:t>
      </w:r>
    </w:p>
    <w:p>
      <w:pPr>
        <w:spacing w:line="254" w:lineRule="auto" w:before="56"/>
        <w:ind w:left="819" w:right="250" w:hanging="567"/>
        <w:jc w:val="both"/>
        <w:rPr>
          <w:sz w:val="18"/>
        </w:rPr>
      </w:pPr>
      <w:r>
        <w:rPr>
          <w:color w:val="231F20"/>
          <w:sz w:val="18"/>
        </w:rPr>
        <w:t>Davis L.L. (1992). Instrument review: Getting the most from a panel of experts. Applied Nursing Research, 5, 194-197.</w:t>
      </w:r>
    </w:p>
    <w:p>
      <w:pPr>
        <w:spacing w:line="254" w:lineRule="auto" w:before="58"/>
        <w:ind w:left="819" w:right="248" w:hanging="567"/>
        <w:jc w:val="both"/>
        <w:rPr>
          <w:sz w:val="18"/>
        </w:rPr>
      </w:pPr>
      <w:r>
        <w:rPr>
          <w:color w:val="231F20"/>
          <w:sz w:val="18"/>
        </w:rPr>
        <w:t>Dehon,</w:t>
      </w:r>
      <w:r>
        <w:rPr>
          <w:color w:val="231F20"/>
          <w:spacing w:val="-14"/>
          <w:sz w:val="18"/>
        </w:rPr>
        <w:t> </w:t>
      </w:r>
      <w:r>
        <w:rPr>
          <w:color w:val="231F20"/>
          <w:sz w:val="18"/>
        </w:rPr>
        <w:t>C.,</w:t>
      </w:r>
      <w:r>
        <w:rPr>
          <w:color w:val="231F20"/>
          <w:spacing w:val="-14"/>
          <w:sz w:val="18"/>
        </w:rPr>
        <w:t> </w:t>
      </w:r>
      <w:r>
        <w:rPr>
          <w:color w:val="231F20"/>
          <w:sz w:val="18"/>
        </w:rPr>
        <w:t>Weems,</w:t>
      </w:r>
      <w:r>
        <w:rPr>
          <w:color w:val="231F20"/>
          <w:spacing w:val="-14"/>
          <w:sz w:val="18"/>
        </w:rPr>
        <w:t> </w:t>
      </w:r>
      <w:r>
        <w:rPr>
          <w:color w:val="231F20"/>
          <w:sz w:val="18"/>
        </w:rPr>
        <w:t>C.</w:t>
      </w:r>
      <w:r>
        <w:rPr>
          <w:color w:val="231F20"/>
          <w:spacing w:val="-14"/>
          <w:sz w:val="18"/>
        </w:rPr>
        <w:t> </w:t>
      </w:r>
      <w:r>
        <w:rPr>
          <w:color w:val="231F20"/>
          <w:sz w:val="18"/>
        </w:rPr>
        <w:t>F.,</w:t>
      </w:r>
      <w:r>
        <w:rPr>
          <w:color w:val="231F20"/>
          <w:spacing w:val="-14"/>
          <w:sz w:val="18"/>
        </w:rPr>
        <w:t> </w:t>
      </w:r>
      <w:r>
        <w:rPr>
          <w:color w:val="231F20"/>
          <w:sz w:val="18"/>
        </w:rPr>
        <w:t>Stickle,</w:t>
      </w:r>
      <w:r>
        <w:rPr>
          <w:color w:val="231F20"/>
          <w:spacing w:val="-14"/>
          <w:sz w:val="18"/>
        </w:rPr>
        <w:t> </w:t>
      </w:r>
      <w:r>
        <w:rPr>
          <w:color w:val="231F20"/>
          <w:sz w:val="18"/>
        </w:rPr>
        <w:t>T.</w:t>
      </w:r>
      <w:r>
        <w:rPr>
          <w:color w:val="231F20"/>
          <w:spacing w:val="-14"/>
          <w:sz w:val="18"/>
        </w:rPr>
        <w:t> </w:t>
      </w:r>
      <w:r>
        <w:rPr>
          <w:color w:val="231F20"/>
          <w:sz w:val="18"/>
        </w:rPr>
        <w:t>R.,</w:t>
      </w:r>
      <w:r>
        <w:rPr>
          <w:color w:val="231F20"/>
          <w:spacing w:val="-14"/>
          <w:sz w:val="18"/>
        </w:rPr>
        <w:t> </w:t>
      </w:r>
      <w:r>
        <w:rPr>
          <w:color w:val="231F20"/>
          <w:sz w:val="18"/>
        </w:rPr>
        <w:t>Costa,</w:t>
      </w:r>
      <w:r>
        <w:rPr>
          <w:color w:val="231F20"/>
          <w:spacing w:val="-13"/>
          <w:sz w:val="18"/>
        </w:rPr>
        <w:t> </w:t>
      </w:r>
      <w:r>
        <w:rPr>
          <w:color w:val="231F20"/>
          <w:sz w:val="18"/>
        </w:rPr>
        <w:t>N.</w:t>
      </w:r>
      <w:r>
        <w:rPr>
          <w:color w:val="231F20"/>
          <w:spacing w:val="-14"/>
          <w:sz w:val="18"/>
        </w:rPr>
        <w:t> </w:t>
      </w:r>
      <w:r>
        <w:rPr>
          <w:color w:val="231F20"/>
          <w:sz w:val="18"/>
        </w:rPr>
        <w:t>M.</w:t>
      </w:r>
      <w:r>
        <w:rPr>
          <w:color w:val="231F20"/>
          <w:spacing w:val="-14"/>
          <w:sz w:val="18"/>
        </w:rPr>
        <w:t> </w:t>
      </w:r>
      <w:r>
        <w:rPr>
          <w:color w:val="231F20"/>
          <w:sz w:val="18"/>
        </w:rPr>
        <w:t>&amp;</w:t>
      </w:r>
      <w:r>
        <w:rPr>
          <w:color w:val="231F20"/>
          <w:spacing w:val="-14"/>
          <w:sz w:val="18"/>
        </w:rPr>
        <w:t> </w:t>
      </w:r>
      <w:r>
        <w:rPr>
          <w:color w:val="231F20"/>
          <w:sz w:val="18"/>
        </w:rPr>
        <w:t>Berman,</w:t>
      </w:r>
      <w:r>
        <w:rPr>
          <w:color w:val="231F20"/>
          <w:spacing w:val="-14"/>
          <w:sz w:val="18"/>
        </w:rPr>
        <w:t> </w:t>
      </w:r>
      <w:r>
        <w:rPr>
          <w:color w:val="231F20"/>
          <w:sz w:val="18"/>
        </w:rPr>
        <w:t>S.</w:t>
      </w:r>
      <w:r>
        <w:rPr>
          <w:color w:val="231F20"/>
          <w:spacing w:val="-14"/>
          <w:sz w:val="18"/>
        </w:rPr>
        <w:t> </w:t>
      </w:r>
      <w:r>
        <w:rPr>
          <w:color w:val="231F20"/>
          <w:sz w:val="18"/>
        </w:rPr>
        <w:t>L.</w:t>
      </w:r>
      <w:r>
        <w:rPr>
          <w:color w:val="231F20"/>
          <w:spacing w:val="-14"/>
          <w:sz w:val="18"/>
        </w:rPr>
        <w:t> </w:t>
      </w:r>
      <w:r>
        <w:rPr>
          <w:color w:val="231F20"/>
          <w:sz w:val="18"/>
        </w:rPr>
        <w:t>(2005).</w:t>
      </w:r>
      <w:r>
        <w:rPr>
          <w:color w:val="231F20"/>
          <w:spacing w:val="-14"/>
          <w:sz w:val="18"/>
        </w:rPr>
        <w:t> </w:t>
      </w:r>
      <w:r>
        <w:rPr>
          <w:color w:val="231F20"/>
          <w:sz w:val="18"/>
        </w:rPr>
        <w:t>A</w:t>
      </w:r>
      <w:r>
        <w:rPr>
          <w:color w:val="231F20"/>
          <w:spacing w:val="-13"/>
          <w:sz w:val="18"/>
        </w:rPr>
        <w:t> </w:t>
      </w:r>
      <w:r>
        <w:rPr>
          <w:color w:val="231F20"/>
          <w:sz w:val="18"/>
        </w:rPr>
        <w:t>cross-sectional</w:t>
      </w:r>
      <w:r>
        <w:rPr>
          <w:color w:val="231F20"/>
          <w:spacing w:val="-14"/>
          <w:sz w:val="18"/>
        </w:rPr>
        <w:t> </w:t>
      </w:r>
      <w:r>
        <w:rPr>
          <w:color w:val="231F20"/>
          <w:sz w:val="18"/>
        </w:rPr>
        <w:t>evaluation of the factorial invariance of anxiety sensitivity in adolescents and young adults. Behaviour Research and Therapy, 43(6), 799-810.</w:t>
      </w:r>
      <w:r>
        <w:rPr>
          <w:color w:val="231F20"/>
          <w:spacing w:val="-2"/>
          <w:sz w:val="18"/>
        </w:rPr>
        <w:t> </w:t>
      </w:r>
      <w:hyperlink r:id="rId41">
        <w:r>
          <w:rPr>
            <w:color w:val="231F20"/>
            <w:sz w:val="18"/>
          </w:rPr>
          <w:t>https://doi.org/10.1016/j.brat.2004.06.008</w:t>
        </w:r>
      </w:hyperlink>
      <w:r>
        <w:rPr>
          <w:color w:val="231F20"/>
          <w:sz w:val="18"/>
        </w:rPr>
        <w:t>.</w:t>
      </w:r>
    </w:p>
    <w:p>
      <w:pPr>
        <w:spacing w:line="254" w:lineRule="auto" w:before="59"/>
        <w:ind w:left="819" w:right="250" w:hanging="567"/>
        <w:jc w:val="both"/>
        <w:rPr>
          <w:sz w:val="18"/>
        </w:rPr>
      </w:pPr>
      <w:r>
        <w:rPr>
          <w:color w:val="231F20"/>
          <w:sz w:val="18"/>
        </w:rPr>
        <w:t>Durmuş,</w:t>
      </w:r>
      <w:r>
        <w:rPr>
          <w:color w:val="231F20"/>
          <w:spacing w:val="-4"/>
          <w:sz w:val="18"/>
        </w:rPr>
        <w:t> </w:t>
      </w:r>
      <w:r>
        <w:rPr>
          <w:color w:val="231F20"/>
          <w:sz w:val="18"/>
        </w:rPr>
        <w:t>B.,</w:t>
      </w:r>
      <w:r>
        <w:rPr>
          <w:color w:val="231F20"/>
          <w:spacing w:val="-3"/>
          <w:sz w:val="18"/>
        </w:rPr>
        <w:t> </w:t>
      </w:r>
      <w:r>
        <w:rPr>
          <w:color w:val="231F20"/>
          <w:sz w:val="18"/>
        </w:rPr>
        <w:t>Yurtkoru,</w:t>
      </w:r>
      <w:r>
        <w:rPr>
          <w:color w:val="231F20"/>
          <w:spacing w:val="-4"/>
          <w:sz w:val="18"/>
        </w:rPr>
        <w:t> </w:t>
      </w:r>
      <w:r>
        <w:rPr>
          <w:color w:val="231F20"/>
          <w:sz w:val="18"/>
        </w:rPr>
        <w:t>E.S.</w:t>
      </w:r>
      <w:r>
        <w:rPr>
          <w:color w:val="231F20"/>
          <w:spacing w:val="-3"/>
          <w:sz w:val="18"/>
        </w:rPr>
        <w:t> </w:t>
      </w:r>
      <w:r>
        <w:rPr>
          <w:color w:val="231F20"/>
          <w:sz w:val="18"/>
        </w:rPr>
        <w:t>&amp;</w:t>
      </w:r>
      <w:r>
        <w:rPr>
          <w:color w:val="231F20"/>
          <w:spacing w:val="-4"/>
          <w:sz w:val="18"/>
        </w:rPr>
        <w:t> </w:t>
      </w:r>
      <w:r>
        <w:rPr>
          <w:color w:val="231F20"/>
          <w:sz w:val="18"/>
        </w:rPr>
        <w:t>Çinko,</w:t>
      </w:r>
      <w:r>
        <w:rPr>
          <w:color w:val="231F20"/>
          <w:spacing w:val="-3"/>
          <w:sz w:val="18"/>
        </w:rPr>
        <w:t> </w:t>
      </w:r>
      <w:r>
        <w:rPr>
          <w:color w:val="231F20"/>
          <w:sz w:val="18"/>
        </w:rPr>
        <w:t>M.</w:t>
      </w:r>
      <w:r>
        <w:rPr>
          <w:color w:val="231F20"/>
          <w:spacing w:val="-4"/>
          <w:sz w:val="18"/>
        </w:rPr>
        <w:t> </w:t>
      </w:r>
      <w:r>
        <w:rPr>
          <w:color w:val="231F20"/>
          <w:sz w:val="18"/>
        </w:rPr>
        <w:t>(2016).</w:t>
      </w:r>
      <w:r>
        <w:rPr>
          <w:color w:val="231F20"/>
          <w:spacing w:val="-3"/>
          <w:sz w:val="18"/>
        </w:rPr>
        <w:t> </w:t>
      </w:r>
      <w:r>
        <w:rPr>
          <w:color w:val="231F20"/>
          <w:sz w:val="18"/>
        </w:rPr>
        <w:t>Sosyal</w:t>
      </w:r>
      <w:r>
        <w:rPr>
          <w:color w:val="231F20"/>
          <w:spacing w:val="-4"/>
          <w:sz w:val="18"/>
        </w:rPr>
        <w:t> </w:t>
      </w:r>
      <w:r>
        <w:rPr>
          <w:color w:val="231F20"/>
          <w:sz w:val="18"/>
        </w:rPr>
        <w:t>bilimlerde</w:t>
      </w:r>
      <w:r>
        <w:rPr>
          <w:color w:val="231F20"/>
          <w:spacing w:val="-3"/>
          <w:sz w:val="18"/>
        </w:rPr>
        <w:t> </w:t>
      </w:r>
      <w:r>
        <w:rPr>
          <w:color w:val="231F20"/>
          <w:sz w:val="18"/>
        </w:rPr>
        <w:t>SPSS</w:t>
      </w:r>
      <w:r>
        <w:rPr>
          <w:color w:val="231F20"/>
          <w:spacing w:val="-3"/>
          <w:sz w:val="18"/>
        </w:rPr>
        <w:t> </w:t>
      </w:r>
      <w:r>
        <w:rPr>
          <w:color w:val="231F20"/>
          <w:sz w:val="18"/>
        </w:rPr>
        <w:t>ile</w:t>
      </w:r>
      <w:r>
        <w:rPr>
          <w:color w:val="231F20"/>
          <w:spacing w:val="-4"/>
          <w:sz w:val="18"/>
        </w:rPr>
        <w:t> </w:t>
      </w:r>
      <w:r>
        <w:rPr>
          <w:color w:val="231F20"/>
          <w:sz w:val="18"/>
        </w:rPr>
        <w:t>veri</w:t>
      </w:r>
      <w:r>
        <w:rPr>
          <w:color w:val="231F20"/>
          <w:spacing w:val="-3"/>
          <w:sz w:val="18"/>
        </w:rPr>
        <w:t> </w:t>
      </w:r>
      <w:r>
        <w:rPr>
          <w:color w:val="231F20"/>
          <w:sz w:val="18"/>
        </w:rPr>
        <w:t>analizi</w:t>
      </w:r>
      <w:r>
        <w:rPr>
          <w:color w:val="231F20"/>
          <w:spacing w:val="-4"/>
          <w:sz w:val="18"/>
        </w:rPr>
        <w:t> </w:t>
      </w:r>
      <w:r>
        <w:rPr>
          <w:color w:val="231F20"/>
          <w:sz w:val="18"/>
        </w:rPr>
        <w:t>(6.bs.).</w:t>
      </w:r>
      <w:r>
        <w:rPr>
          <w:color w:val="231F20"/>
          <w:spacing w:val="-3"/>
          <w:sz w:val="18"/>
        </w:rPr>
        <w:t> </w:t>
      </w:r>
      <w:r>
        <w:rPr>
          <w:color w:val="231F20"/>
          <w:sz w:val="18"/>
        </w:rPr>
        <w:t>İstanbul: Beta</w:t>
      </w:r>
      <w:r>
        <w:rPr>
          <w:color w:val="231F20"/>
          <w:spacing w:val="-1"/>
          <w:sz w:val="18"/>
        </w:rPr>
        <w:t> </w:t>
      </w:r>
      <w:r>
        <w:rPr>
          <w:color w:val="231F20"/>
          <w:sz w:val="18"/>
        </w:rPr>
        <w:t>Yayıncılık.</w:t>
      </w:r>
    </w:p>
    <w:p>
      <w:pPr>
        <w:spacing w:after="0" w:line="254" w:lineRule="auto"/>
        <w:jc w:val="both"/>
        <w:rPr>
          <w:sz w:val="18"/>
        </w:rPr>
        <w:sectPr>
          <w:pgSz w:w="9530" w:h="13610"/>
          <w:pgMar w:header="860" w:footer="344" w:top="1060" w:bottom="540" w:left="740" w:right="740"/>
        </w:sectPr>
      </w:pPr>
    </w:p>
    <w:p>
      <w:pPr>
        <w:pStyle w:val="BodyText"/>
      </w:pPr>
    </w:p>
    <w:p>
      <w:pPr>
        <w:pStyle w:val="BodyText"/>
        <w:spacing w:before="5"/>
      </w:pPr>
    </w:p>
    <w:p>
      <w:pPr>
        <w:spacing w:before="0"/>
        <w:ind w:left="252" w:right="0" w:firstLine="0"/>
        <w:jc w:val="both"/>
        <w:rPr>
          <w:sz w:val="18"/>
        </w:rPr>
      </w:pPr>
      <w:r>
        <w:rPr>
          <w:color w:val="231F20"/>
          <w:sz w:val="18"/>
        </w:rPr>
        <w:t>Ebel, R.L. (1965). Measuring educational achievement. Englewood Cliffs.</w:t>
      </w:r>
    </w:p>
    <w:p>
      <w:pPr>
        <w:spacing w:line="254" w:lineRule="auto" w:before="70"/>
        <w:ind w:left="819" w:right="250" w:hanging="567"/>
        <w:jc w:val="both"/>
        <w:rPr>
          <w:sz w:val="18"/>
        </w:rPr>
      </w:pPr>
      <w:r>
        <w:rPr>
          <w:color w:val="231F20"/>
          <w:sz w:val="18"/>
        </w:rPr>
        <w:t>Erkorkmaz,</w:t>
      </w:r>
      <w:r>
        <w:rPr>
          <w:color w:val="231F20"/>
          <w:spacing w:val="-5"/>
          <w:sz w:val="18"/>
        </w:rPr>
        <w:t> </w:t>
      </w:r>
      <w:r>
        <w:rPr>
          <w:color w:val="231F20"/>
          <w:sz w:val="18"/>
        </w:rPr>
        <w:t>Ü.,</w:t>
      </w:r>
      <w:r>
        <w:rPr>
          <w:color w:val="231F20"/>
          <w:spacing w:val="-4"/>
          <w:sz w:val="18"/>
        </w:rPr>
        <w:t> </w:t>
      </w:r>
      <w:r>
        <w:rPr>
          <w:color w:val="231F20"/>
          <w:sz w:val="18"/>
        </w:rPr>
        <w:t>Etikan,</w:t>
      </w:r>
      <w:r>
        <w:rPr>
          <w:color w:val="231F20"/>
          <w:spacing w:val="-5"/>
          <w:sz w:val="18"/>
        </w:rPr>
        <w:t> </w:t>
      </w:r>
      <w:r>
        <w:rPr>
          <w:color w:val="231F20"/>
          <w:sz w:val="18"/>
        </w:rPr>
        <w:t>İ.,</w:t>
      </w:r>
      <w:r>
        <w:rPr>
          <w:color w:val="231F20"/>
          <w:spacing w:val="-4"/>
          <w:sz w:val="18"/>
        </w:rPr>
        <w:t> </w:t>
      </w:r>
      <w:r>
        <w:rPr>
          <w:color w:val="231F20"/>
          <w:sz w:val="18"/>
        </w:rPr>
        <w:t>Demir,</w:t>
      </w:r>
      <w:r>
        <w:rPr>
          <w:color w:val="231F20"/>
          <w:spacing w:val="-4"/>
          <w:sz w:val="18"/>
        </w:rPr>
        <w:t> </w:t>
      </w:r>
      <w:r>
        <w:rPr>
          <w:color w:val="231F20"/>
          <w:sz w:val="18"/>
        </w:rPr>
        <w:t>O.,</w:t>
      </w:r>
      <w:r>
        <w:rPr>
          <w:color w:val="231F20"/>
          <w:spacing w:val="-5"/>
          <w:sz w:val="18"/>
        </w:rPr>
        <w:t> </w:t>
      </w:r>
      <w:r>
        <w:rPr>
          <w:color w:val="231F20"/>
          <w:sz w:val="18"/>
        </w:rPr>
        <w:t>Özdamar,</w:t>
      </w:r>
      <w:r>
        <w:rPr>
          <w:color w:val="231F20"/>
          <w:spacing w:val="-4"/>
          <w:sz w:val="18"/>
        </w:rPr>
        <w:t> </w:t>
      </w:r>
      <w:r>
        <w:rPr>
          <w:color w:val="231F20"/>
          <w:sz w:val="18"/>
        </w:rPr>
        <w:t>K.,</w:t>
      </w:r>
      <w:r>
        <w:rPr>
          <w:color w:val="231F20"/>
          <w:spacing w:val="-5"/>
          <w:sz w:val="18"/>
        </w:rPr>
        <w:t> </w:t>
      </w:r>
      <w:r>
        <w:rPr>
          <w:color w:val="231F20"/>
          <w:sz w:val="18"/>
        </w:rPr>
        <w:t>&amp;</w:t>
      </w:r>
      <w:r>
        <w:rPr>
          <w:color w:val="231F20"/>
          <w:spacing w:val="-4"/>
          <w:sz w:val="18"/>
        </w:rPr>
        <w:t> </w:t>
      </w:r>
      <w:r>
        <w:rPr>
          <w:color w:val="231F20"/>
          <w:sz w:val="18"/>
        </w:rPr>
        <w:t>Sanisoğlu,</w:t>
      </w:r>
      <w:r>
        <w:rPr>
          <w:color w:val="231F20"/>
          <w:spacing w:val="-4"/>
          <w:sz w:val="18"/>
        </w:rPr>
        <w:t> </w:t>
      </w:r>
      <w:r>
        <w:rPr>
          <w:color w:val="231F20"/>
          <w:sz w:val="18"/>
        </w:rPr>
        <w:t>S.</w:t>
      </w:r>
      <w:r>
        <w:rPr>
          <w:color w:val="231F20"/>
          <w:spacing w:val="-5"/>
          <w:sz w:val="18"/>
        </w:rPr>
        <w:t> </w:t>
      </w:r>
      <w:r>
        <w:rPr>
          <w:color w:val="231F20"/>
          <w:sz w:val="18"/>
        </w:rPr>
        <w:t>Y.</w:t>
      </w:r>
      <w:r>
        <w:rPr>
          <w:color w:val="231F20"/>
          <w:spacing w:val="-4"/>
          <w:sz w:val="18"/>
        </w:rPr>
        <w:t> </w:t>
      </w:r>
      <w:r>
        <w:rPr>
          <w:color w:val="231F20"/>
          <w:sz w:val="18"/>
        </w:rPr>
        <w:t>(2013).</w:t>
      </w:r>
      <w:r>
        <w:rPr>
          <w:color w:val="231F20"/>
          <w:spacing w:val="-5"/>
          <w:sz w:val="18"/>
        </w:rPr>
        <w:t> </w:t>
      </w:r>
      <w:r>
        <w:rPr>
          <w:color w:val="231F20"/>
          <w:sz w:val="18"/>
        </w:rPr>
        <w:t>Doğrulayıcı</w:t>
      </w:r>
      <w:r>
        <w:rPr>
          <w:color w:val="231F20"/>
          <w:spacing w:val="-4"/>
          <w:sz w:val="18"/>
        </w:rPr>
        <w:t> </w:t>
      </w:r>
      <w:r>
        <w:rPr>
          <w:color w:val="231F20"/>
          <w:sz w:val="18"/>
        </w:rPr>
        <w:t>faktör</w:t>
      </w:r>
      <w:r>
        <w:rPr>
          <w:color w:val="231F20"/>
          <w:spacing w:val="-4"/>
          <w:sz w:val="18"/>
        </w:rPr>
        <w:t> </w:t>
      </w:r>
      <w:r>
        <w:rPr>
          <w:color w:val="231F20"/>
          <w:sz w:val="18"/>
        </w:rPr>
        <w:t>analizi ve uyum indeksleri. Turkiye Klinikleri Journal of Medical Sciences, 33(1), 210-223. https:// doi:10.5336/medsci.2011-26747.</w:t>
      </w:r>
    </w:p>
    <w:p>
      <w:pPr>
        <w:spacing w:before="58"/>
        <w:ind w:left="252" w:right="0" w:firstLine="0"/>
        <w:jc w:val="both"/>
        <w:rPr>
          <w:sz w:val="18"/>
        </w:rPr>
      </w:pPr>
      <w:r>
        <w:rPr>
          <w:color w:val="231F20"/>
          <w:sz w:val="18"/>
        </w:rPr>
        <w:t>Erkuş, A. (2016). Psikolojide ölçme ve ölçek geliştirme-I (3.bs.). Ankara: Pegem Akademi.</w:t>
      </w:r>
    </w:p>
    <w:p>
      <w:pPr>
        <w:spacing w:line="254" w:lineRule="auto" w:before="70"/>
        <w:ind w:left="819" w:right="253" w:hanging="567"/>
        <w:jc w:val="both"/>
        <w:rPr>
          <w:sz w:val="18"/>
        </w:rPr>
      </w:pPr>
      <w:r>
        <w:rPr>
          <w:color w:val="231F20"/>
          <w:sz w:val="18"/>
        </w:rPr>
        <w:t>Erkuş, A., Sünbül, Ö., Ömür Sünbül, S., Yormaz, S. &amp; Aşiret, S. (2017). Psikolojide ölçme ve ölçek geliştirme-II (1.bs.). Ankara: Pegem Akademi.</w:t>
      </w:r>
    </w:p>
    <w:p>
      <w:pPr>
        <w:spacing w:line="254" w:lineRule="auto" w:before="58"/>
        <w:ind w:left="819" w:right="250" w:hanging="567"/>
        <w:jc w:val="both"/>
        <w:rPr>
          <w:sz w:val="18"/>
        </w:rPr>
      </w:pPr>
      <w:r>
        <w:rPr>
          <w:color w:val="231F20"/>
          <w:sz w:val="18"/>
        </w:rPr>
        <w:t>Fernández, J.A. (2005). The agile leader: Conditions for succeeding in China. In W.H. Mobley &amp; E. Weldon (Eds.). Advances in Global Leadership (pp. 255-275). Emerald Group Publishing Limited. </w:t>
      </w:r>
      <w:hyperlink r:id="rId42">
        <w:r>
          <w:rPr>
            <w:color w:val="231F20"/>
            <w:sz w:val="18"/>
          </w:rPr>
          <w:t>https://doi.org/10.1016/S1535-1203(06)04017-2</w:t>
        </w:r>
      </w:hyperlink>
      <w:r>
        <w:rPr>
          <w:color w:val="231F20"/>
          <w:sz w:val="18"/>
        </w:rPr>
        <w:t>.</w:t>
      </w:r>
    </w:p>
    <w:p>
      <w:pPr>
        <w:spacing w:line="254" w:lineRule="auto" w:before="58"/>
        <w:ind w:left="819" w:right="250" w:hanging="567"/>
        <w:jc w:val="both"/>
        <w:rPr>
          <w:sz w:val="18"/>
        </w:rPr>
      </w:pPr>
      <w:r>
        <w:rPr>
          <w:color w:val="231F20"/>
          <w:sz w:val="18"/>
        </w:rPr>
        <w:t>Fornell, C. &amp; Larcker, D. F. (1981). Structural equation models with unobservable variables and measurement error: Algebra and statistics. </w:t>
      </w:r>
      <w:hyperlink r:id="rId43">
        <w:r>
          <w:rPr>
            <w:color w:val="231F20"/>
            <w:sz w:val="18"/>
          </w:rPr>
          <w:t>https://doi.org/10.1177/002224378101800313</w:t>
        </w:r>
      </w:hyperlink>
      <w:r>
        <w:rPr>
          <w:color w:val="231F20"/>
          <w:sz w:val="18"/>
        </w:rPr>
        <w:t>.</w:t>
      </w:r>
    </w:p>
    <w:p>
      <w:pPr>
        <w:spacing w:line="321" w:lineRule="auto" w:before="58"/>
        <w:ind w:left="252" w:right="2067" w:firstLine="0"/>
        <w:jc w:val="both"/>
        <w:rPr>
          <w:sz w:val="18"/>
        </w:rPr>
      </w:pPr>
      <w:r>
        <w:rPr>
          <w:color w:val="231F20"/>
          <w:sz w:val="18"/>
        </w:rPr>
        <w:t>Franz, A. (2020, June 17). 15 key qualities that define an ‘agile’ leader. Forbes. Gallotti, A. (2021, September 14). Four ways to become more resilient. Forbes.</w:t>
      </w:r>
    </w:p>
    <w:p>
      <w:pPr>
        <w:spacing w:line="254" w:lineRule="auto" w:before="0"/>
        <w:ind w:left="819" w:right="29" w:hanging="567"/>
        <w:jc w:val="left"/>
        <w:rPr>
          <w:sz w:val="18"/>
        </w:rPr>
      </w:pPr>
      <w:r>
        <w:rPr>
          <w:color w:val="231F20"/>
          <w:sz w:val="18"/>
        </w:rPr>
        <w:t>George, D. &amp; Mallery, M. (2010). SPSS for windows step by step: A simple guide and reference, 17.0 update (10a Ed.). Pearson</w:t>
      </w:r>
    </w:p>
    <w:p>
      <w:pPr>
        <w:spacing w:line="254" w:lineRule="auto" w:before="56"/>
        <w:ind w:left="819" w:right="29" w:hanging="567"/>
        <w:jc w:val="left"/>
        <w:rPr>
          <w:sz w:val="18"/>
        </w:rPr>
      </w:pPr>
      <w:r>
        <w:rPr>
          <w:color w:val="231F20"/>
          <w:sz w:val="18"/>
        </w:rPr>
        <w:t>Gilman, D. (2017). Outsmarting VUCA: Achieving success in a volatile, uncertain, complex, and ambiguous world. Advantage.</w:t>
      </w:r>
    </w:p>
    <w:p>
      <w:pPr>
        <w:spacing w:before="58"/>
        <w:ind w:left="252" w:right="0" w:firstLine="0"/>
        <w:jc w:val="left"/>
        <w:rPr>
          <w:sz w:val="18"/>
        </w:rPr>
      </w:pPr>
      <w:r>
        <w:rPr>
          <w:color w:val="231F20"/>
          <w:sz w:val="18"/>
        </w:rPr>
        <w:t>Gleeson, B. (2021, April 13). Resilience in leadership: How to lead and win despite change and obstacles.</w:t>
      </w:r>
    </w:p>
    <w:p>
      <w:pPr>
        <w:spacing w:before="13"/>
        <w:ind w:left="819" w:right="0" w:firstLine="0"/>
        <w:jc w:val="left"/>
        <w:rPr>
          <w:sz w:val="18"/>
        </w:rPr>
      </w:pPr>
      <w:r>
        <w:rPr>
          <w:color w:val="231F20"/>
          <w:sz w:val="18"/>
        </w:rPr>
        <w:t>Forbes.</w:t>
      </w:r>
    </w:p>
    <w:p>
      <w:pPr>
        <w:spacing w:before="70"/>
        <w:ind w:left="252" w:right="0" w:firstLine="0"/>
        <w:jc w:val="both"/>
        <w:rPr>
          <w:sz w:val="18"/>
        </w:rPr>
      </w:pPr>
      <w:r>
        <w:rPr>
          <w:color w:val="231F20"/>
          <w:sz w:val="18"/>
        </w:rPr>
        <w:t>Goranson, H. T. (1999). The agile virtual enterprise. Praeger.</w:t>
      </w:r>
    </w:p>
    <w:p>
      <w:pPr>
        <w:spacing w:line="254" w:lineRule="auto" w:before="69"/>
        <w:ind w:left="819" w:right="250" w:hanging="567"/>
        <w:jc w:val="both"/>
        <w:rPr>
          <w:sz w:val="18"/>
        </w:rPr>
      </w:pPr>
      <w:r>
        <w:rPr>
          <w:color w:val="231F20"/>
          <w:sz w:val="18"/>
        </w:rPr>
        <w:t>Gunasekaran, A., McGaughey, R. &amp; Wolstenerft, V. (2001). Agile manufacturing: Concepts and framework.</w:t>
      </w:r>
      <w:r>
        <w:rPr>
          <w:color w:val="231F20"/>
          <w:spacing w:val="-5"/>
          <w:sz w:val="18"/>
        </w:rPr>
        <w:t> </w:t>
      </w:r>
      <w:r>
        <w:rPr>
          <w:color w:val="231F20"/>
          <w:sz w:val="18"/>
        </w:rPr>
        <w:t>In</w:t>
      </w:r>
      <w:r>
        <w:rPr>
          <w:color w:val="231F20"/>
          <w:spacing w:val="-5"/>
          <w:sz w:val="18"/>
        </w:rPr>
        <w:t> </w:t>
      </w:r>
      <w:r>
        <w:rPr>
          <w:color w:val="231F20"/>
          <w:sz w:val="18"/>
        </w:rPr>
        <w:t>A.</w:t>
      </w:r>
      <w:r>
        <w:rPr>
          <w:color w:val="231F20"/>
          <w:spacing w:val="-5"/>
          <w:sz w:val="18"/>
        </w:rPr>
        <w:t> </w:t>
      </w:r>
      <w:r>
        <w:rPr>
          <w:color w:val="231F20"/>
          <w:sz w:val="18"/>
        </w:rPr>
        <w:t>Gunasekaran</w:t>
      </w:r>
      <w:r>
        <w:rPr>
          <w:color w:val="231F20"/>
          <w:spacing w:val="-5"/>
          <w:sz w:val="18"/>
        </w:rPr>
        <w:t> </w:t>
      </w:r>
      <w:r>
        <w:rPr>
          <w:color w:val="231F20"/>
          <w:sz w:val="18"/>
        </w:rPr>
        <w:t>(Ed.)</w:t>
      </w:r>
      <w:r>
        <w:rPr>
          <w:color w:val="231F20"/>
          <w:spacing w:val="-5"/>
          <w:sz w:val="18"/>
        </w:rPr>
        <w:t> </w:t>
      </w:r>
      <w:r>
        <w:rPr>
          <w:color w:val="231F20"/>
          <w:sz w:val="18"/>
        </w:rPr>
        <w:t>Agile</w:t>
      </w:r>
      <w:r>
        <w:rPr>
          <w:color w:val="231F20"/>
          <w:spacing w:val="-5"/>
          <w:sz w:val="18"/>
        </w:rPr>
        <w:t> </w:t>
      </w:r>
      <w:r>
        <w:rPr>
          <w:color w:val="231F20"/>
          <w:sz w:val="18"/>
        </w:rPr>
        <w:t>manufacturing:</w:t>
      </w:r>
      <w:r>
        <w:rPr>
          <w:color w:val="231F20"/>
          <w:spacing w:val="-5"/>
          <w:sz w:val="18"/>
        </w:rPr>
        <w:t> </w:t>
      </w:r>
      <w:r>
        <w:rPr>
          <w:color w:val="231F20"/>
          <w:sz w:val="18"/>
        </w:rPr>
        <w:t>The</w:t>
      </w:r>
      <w:r>
        <w:rPr>
          <w:color w:val="231F20"/>
          <w:spacing w:val="-5"/>
          <w:sz w:val="18"/>
        </w:rPr>
        <w:t> </w:t>
      </w:r>
      <w:r>
        <w:rPr>
          <w:color w:val="231F20"/>
          <w:sz w:val="18"/>
        </w:rPr>
        <w:t>21st</w:t>
      </w:r>
      <w:r>
        <w:rPr>
          <w:color w:val="231F20"/>
          <w:spacing w:val="-5"/>
          <w:sz w:val="18"/>
        </w:rPr>
        <w:t> </w:t>
      </w:r>
      <w:r>
        <w:rPr>
          <w:color w:val="231F20"/>
          <w:sz w:val="18"/>
        </w:rPr>
        <w:t>century</w:t>
      </w:r>
      <w:r>
        <w:rPr>
          <w:color w:val="231F20"/>
          <w:spacing w:val="-5"/>
          <w:sz w:val="18"/>
        </w:rPr>
        <w:t> </w:t>
      </w:r>
      <w:r>
        <w:rPr>
          <w:color w:val="231F20"/>
          <w:sz w:val="18"/>
        </w:rPr>
        <w:t>competitive</w:t>
      </w:r>
      <w:r>
        <w:rPr>
          <w:color w:val="231F20"/>
          <w:spacing w:val="-5"/>
          <w:sz w:val="18"/>
        </w:rPr>
        <w:t> </w:t>
      </w:r>
      <w:r>
        <w:rPr>
          <w:color w:val="231F20"/>
          <w:sz w:val="18"/>
        </w:rPr>
        <w:t>strategy (pp.25-49). Elseiver</w:t>
      </w:r>
      <w:r>
        <w:rPr>
          <w:color w:val="231F20"/>
          <w:spacing w:val="-1"/>
          <w:sz w:val="18"/>
        </w:rPr>
        <w:t> </w:t>
      </w:r>
      <w:r>
        <w:rPr>
          <w:color w:val="231F20"/>
          <w:sz w:val="18"/>
        </w:rPr>
        <w:t>Science.</w:t>
      </w:r>
    </w:p>
    <w:p>
      <w:pPr>
        <w:spacing w:line="254" w:lineRule="auto" w:before="59"/>
        <w:ind w:left="819" w:right="250" w:hanging="567"/>
        <w:jc w:val="both"/>
        <w:rPr>
          <w:sz w:val="18"/>
        </w:rPr>
      </w:pPr>
      <w:r>
        <w:rPr>
          <w:color w:val="231F20"/>
          <w:sz w:val="18"/>
        </w:rPr>
        <w:t>Guzmán, V. E., Muschardb, B., Gerolamo, M., Kohl, H. &amp; Rozenfeld, H. (2020). Characteristics and skills of leadership in the context of ındustry 4.0. Procedia Manufacturing, 43(2020), 543–550. </w:t>
      </w:r>
      <w:hyperlink r:id="rId44">
        <w:r>
          <w:rPr>
            <w:color w:val="231F20"/>
            <w:sz w:val="18"/>
          </w:rPr>
          <w:t>https://10.1016/j.promfg.2020.02.167</w:t>
        </w:r>
      </w:hyperlink>
      <w:r>
        <w:rPr>
          <w:color w:val="231F20"/>
          <w:sz w:val="18"/>
        </w:rPr>
        <w:t>. Erişim Tarihi: 10.01.2021</w:t>
      </w:r>
    </w:p>
    <w:p>
      <w:pPr>
        <w:spacing w:before="58"/>
        <w:ind w:left="252" w:right="0" w:firstLine="0"/>
        <w:jc w:val="both"/>
        <w:rPr>
          <w:sz w:val="18"/>
        </w:rPr>
      </w:pPr>
      <w:r>
        <w:rPr>
          <w:color w:val="231F20"/>
          <w:sz w:val="18"/>
        </w:rPr>
        <w:t>Güriş, S. &amp; Astar, M. (2015). SPSS ile istatistik (Gen.2.bs.). İstanbul: Der Yayınları.</w:t>
      </w:r>
    </w:p>
    <w:p>
      <w:pPr>
        <w:spacing w:before="70"/>
        <w:ind w:left="252" w:right="0" w:firstLine="0"/>
        <w:jc w:val="both"/>
        <w:rPr>
          <w:sz w:val="18"/>
        </w:rPr>
      </w:pPr>
      <w:r>
        <w:rPr>
          <w:color w:val="231F20"/>
          <w:sz w:val="18"/>
        </w:rPr>
        <w:t>Güven, Ç. (2021, 16 Eylül). Psikolojik dayanıklılık (resilience) ve liderlik. </w:t>
      </w:r>
      <w:hyperlink r:id="rId45">
        <w:r>
          <w:rPr>
            <w:color w:val="231F20"/>
            <w:sz w:val="18"/>
          </w:rPr>
          <w:t>http://reelpiyasalar.com/</w:t>
        </w:r>
      </w:hyperlink>
      <w:r>
        <w:rPr>
          <w:color w:val="231F20"/>
          <w:sz w:val="18"/>
        </w:rPr>
        <w:t>.</w:t>
      </w:r>
    </w:p>
    <w:p>
      <w:pPr>
        <w:spacing w:before="13"/>
        <w:ind w:left="819" w:right="0" w:firstLine="0"/>
        <w:jc w:val="both"/>
        <w:rPr>
          <w:sz w:val="18"/>
        </w:rPr>
      </w:pPr>
      <w:r>
        <w:rPr>
          <w:color w:val="231F20"/>
          <w:sz w:val="18"/>
        </w:rPr>
        <w:t>Erişim Tarihi: 14.04.2021</w:t>
      </w:r>
    </w:p>
    <w:p>
      <w:pPr>
        <w:spacing w:before="70"/>
        <w:ind w:left="252" w:right="0" w:firstLine="0"/>
        <w:jc w:val="both"/>
        <w:rPr>
          <w:sz w:val="18"/>
        </w:rPr>
      </w:pPr>
      <w:r>
        <w:rPr>
          <w:color w:val="231F20"/>
          <w:sz w:val="18"/>
        </w:rPr>
        <w:t>Hair, J. F., Black, W., Babin, B. &amp; Anderson, R. (2009). Multivariate data analysis, upper saddle river.</w:t>
      </w:r>
    </w:p>
    <w:p>
      <w:pPr>
        <w:spacing w:before="13"/>
        <w:ind w:left="819" w:right="0" w:firstLine="0"/>
        <w:jc w:val="both"/>
        <w:rPr>
          <w:sz w:val="18"/>
        </w:rPr>
      </w:pPr>
      <w:r>
        <w:rPr>
          <w:color w:val="231F20"/>
          <w:sz w:val="18"/>
        </w:rPr>
        <w:t>Prentice Hall.</w:t>
      </w:r>
    </w:p>
    <w:p>
      <w:pPr>
        <w:spacing w:before="69"/>
        <w:ind w:left="252" w:right="0" w:firstLine="0"/>
        <w:jc w:val="both"/>
        <w:rPr>
          <w:sz w:val="18"/>
        </w:rPr>
      </w:pPr>
      <w:r>
        <w:rPr>
          <w:color w:val="231F20"/>
          <w:sz w:val="18"/>
        </w:rPr>
        <w:t>Hair, J.F., Black, W.C., Babin, B.J., Anderson, R.E. &amp; Tatham, R.L. (2013). Multivariate data analysis.</w:t>
      </w:r>
    </w:p>
    <w:p>
      <w:pPr>
        <w:spacing w:before="13"/>
        <w:ind w:left="819" w:right="0" w:firstLine="0"/>
        <w:jc w:val="left"/>
        <w:rPr>
          <w:sz w:val="18"/>
        </w:rPr>
      </w:pPr>
      <w:r>
        <w:rPr>
          <w:color w:val="231F20"/>
          <w:sz w:val="18"/>
        </w:rPr>
        <w:t>Pearson.</w:t>
      </w:r>
    </w:p>
    <w:p>
      <w:pPr>
        <w:spacing w:line="254" w:lineRule="auto" w:before="70"/>
        <w:ind w:left="819" w:right="29" w:hanging="567"/>
        <w:jc w:val="left"/>
        <w:rPr>
          <w:sz w:val="18"/>
        </w:rPr>
      </w:pPr>
      <w:r>
        <w:rPr>
          <w:color w:val="231F20"/>
          <w:sz w:val="18"/>
        </w:rPr>
        <w:t>Hall, R.D. &amp; Rowland, C.A. (2016). Leadership development for managers in turbulent times. Journal of Management Development, 35(8), 1-14. </w:t>
      </w:r>
      <w:hyperlink r:id="rId46">
        <w:r>
          <w:rPr>
            <w:color w:val="231F20"/>
            <w:sz w:val="18"/>
          </w:rPr>
          <w:t>http://dx.doi.org/10.1108/JMD-09-2015-0121</w:t>
        </w:r>
      </w:hyperlink>
      <w:r>
        <w:rPr>
          <w:color w:val="231F20"/>
          <w:sz w:val="18"/>
        </w:rPr>
        <w:t>.</w:t>
      </w:r>
    </w:p>
    <w:p>
      <w:pPr>
        <w:spacing w:before="58"/>
        <w:ind w:left="252" w:right="0" w:firstLine="0"/>
        <w:jc w:val="left"/>
        <w:rPr>
          <w:sz w:val="18"/>
        </w:rPr>
      </w:pPr>
      <w:r>
        <w:rPr>
          <w:color w:val="231F20"/>
          <w:sz w:val="18"/>
        </w:rPr>
        <w:t>Hanson, W. (2020, June 17). 15 key qualities that define an ‘agile’ leader. Forbes.</w:t>
      </w:r>
    </w:p>
    <w:p>
      <w:pPr>
        <w:spacing w:line="256" w:lineRule="auto" w:before="69"/>
        <w:ind w:left="819" w:right="249" w:hanging="567"/>
        <w:jc w:val="both"/>
        <w:rPr>
          <w:sz w:val="18"/>
        </w:rPr>
      </w:pPr>
      <w:r>
        <w:rPr>
          <w:color w:val="231F20"/>
          <w:sz w:val="18"/>
        </w:rPr>
        <w:t>Harrington,</w:t>
      </w:r>
      <w:r>
        <w:rPr>
          <w:color w:val="231F20"/>
          <w:spacing w:val="-12"/>
          <w:sz w:val="18"/>
        </w:rPr>
        <w:t> </w:t>
      </w:r>
      <w:r>
        <w:rPr>
          <w:color w:val="231F20"/>
          <w:sz w:val="18"/>
        </w:rPr>
        <w:t>D.</w:t>
      </w:r>
      <w:r>
        <w:rPr>
          <w:color w:val="231F20"/>
          <w:spacing w:val="-12"/>
          <w:sz w:val="18"/>
        </w:rPr>
        <w:t> </w:t>
      </w:r>
      <w:r>
        <w:rPr>
          <w:color w:val="231F20"/>
          <w:sz w:val="18"/>
        </w:rPr>
        <w:t>(2009).</w:t>
      </w:r>
      <w:r>
        <w:rPr>
          <w:color w:val="231F20"/>
          <w:spacing w:val="-12"/>
          <w:sz w:val="18"/>
        </w:rPr>
        <w:t> </w:t>
      </w:r>
      <w:r>
        <w:rPr>
          <w:color w:val="231F20"/>
          <w:sz w:val="18"/>
        </w:rPr>
        <w:t>Assessing</w:t>
      </w:r>
      <w:r>
        <w:rPr>
          <w:color w:val="231F20"/>
          <w:spacing w:val="-12"/>
          <w:sz w:val="18"/>
        </w:rPr>
        <w:t> </w:t>
      </w:r>
      <w:r>
        <w:rPr>
          <w:color w:val="231F20"/>
          <w:sz w:val="18"/>
        </w:rPr>
        <w:t>confirmatory</w:t>
      </w:r>
      <w:r>
        <w:rPr>
          <w:color w:val="231F20"/>
          <w:spacing w:val="-12"/>
          <w:sz w:val="18"/>
        </w:rPr>
        <w:t> </w:t>
      </w:r>
      <w:r>
        <w:rPr>
          <w:color w:val="231F20"/>
          <w:sz w:val="18"/>
        </w:rPr>
        <w:t>factor</w:t>
      </w:r>
      <w:r>
        <w:rPr>
          <w:color w:val="231F20"/>
          <w:spacing w:val="-12"/>
          <w:sz w:val="18"/>
        </w:rPr>
        <w:t> </w:t>
      </w:r>
      <w:r>
        <w:rPr>
          <w:color w:val="231F20"/>
          <w:sz w:val="18"/>
        </w:rPr>
        <w:t>analysis</w:t>
      </w:r>
      <w:r>
        <w:rPr>
          <w:color w:val="231F20"/>
          <w:spacing w:val="-12"/>
          <w:sz w:val="18"/>
        </w:rPr>
        <w:t> </w:t>
      </w:r>
      <w:r>
        <w:rPr>
          <w:color w:val="231F20"/>
          <w:sz w:val="18"/>
        </w:rPr>
        <w:t>model</w:t>
      </w:r>
      <w:r>
        <w:rPr>
          <w:color w:val="231F20"/>
          <w:spacing w:val="-12"/>
          <w:sz w:val="18"/>
        </w:rPr>
        <w:t> </w:t>
      </w:r>
      <w:r>
        <w:rPr>
          <w:color w:val="231F20"/>
          <w:sz w:val="18"/>
        </w:rPr>
        <w:t>fit</w:t>
      </w:r>
      <w:r>
        <w:rPr>
          <w:color w:val="231F20"/>
          <w:spacing w:val="-11"/>
          <w:sz w:val="18"/>
        </w:rPr>
        <w:t> </w:t>
      </w:r>
      <w:r>
        <w:rPr>
          <w:color w:val="231F20"/>
          <w:sz w:val="18"/>
        </w:rPr>
        <w:t>and</w:t>
      </w:r>
      <w:r>
        <w:rPr>
          <w:color w:val="231F20"/>
          <w:spacing w:val="-12"/>
          <w:sz w:val="18"/>
        </w:rPr>
        <w:t> </w:t>
      </w:r>
      <w:r>
        <w:rPr>
          <w:color w:val="231F20"/>
          <w:sz w:val="18"/>
        </w:rPr>
        <w:t>model</w:t>
      </w:r>
      <w:r>
        <w:rPr>
          <w:color w:val="231F20"/>
          <w:spacing w:val="-12"/>
          <w:sz w:val="18"/>
        </w:rPr>
        <w:t> </w:t>
      </w:r>
      <w:r>
        <w:rPr>
          <w:color w:val="231F20"/>
          <w:sz w:val="18"/>
        </w:rPr>
        <w:t>revision.</w:t>
      </w:r>
      <w:r>
        <w:rPr>
          <w:color w:val="231F20"/>
          <w:spacing w:val="-12"/>
          <w:sz w:val="18"/>
        </w:rPr>
        <w:t> </w:t>
      </w:r>
      <w:r>
        <w:rPr>
          <w:color w:val="231F20"/>
          <w:sz w:val="18"/>
        </w:rPr>
        <w:t>Confirmatory factor analysis (1</w:t>
      </w:r>
      <w:r>
        <w:rPr>
          <w:color w:val="231F20"/>
          <w:sz w:val="18"/>
          <w:vertAlign w:val="superscript"/>
        </w:rPr>
        <w:t>st</w:t>
      </w:r>
      <w:r>
        <w:rPr>
          <w:color w:val="231F20"/>
          <w:sz w:val="18"/>
          <w:vertAlign w:val="baseline"/>
        </w:rPr>
        <w:t> ed). Oxford University</w:t>
      </w:r>
      <w:r>
        <w:rPr>
          <w:color w:val="231F20"/>
          <w:spacing w:val="-3"/>
          <w:sz w:val="18"/>
          <w:vertAlign w:val="baseline"/>
        </w:rPr>
        <w:t> </w:t>
      </w:r>
      <w:r>
        <w:rPr>
          <w:color w:val="231F20"/>
          <w:sz w:val="18"/>
          <w:vertAlign w:val="baseline"/>
        </w:rPr>
        <w:t>Press.</w:t>
      </w:r>
    </w:p>
    <w:p>
      <w:pPr>
        <w:spacing w:line="254" w:lineRule="auto" w:before="56"/>
        <w:ind w:left="819" w:right="250" w:hanging="567"/>
        <w:jc w:val="both"/>
        <w:rPr>
          <w:sz w:val="18"/>
        </w:rPr>
      </w:pPr>
      <w:r>
        <w:rPr>
          <w:color w:val="231F20"/>
          <w:sz w:val="18"/>
        </w:rPr>
        <w:t>Hayward, S. (2018). The agile leadership. How to create an agile business in the digital age. Kogan Page Limited.</w:t>
      </w:r>
    </w:p>
    <w:p>
      <w:pPr>
        <w:spacing w:line="254" w:lineRule="auto" w:before="57"/>
        <w:ind w:left="819" w:right="250" w:hanging="567"/>
        <w:jc w:val="both"/>
        <w:rPr>
          <w:sz w:val="18"/>
        </w:rPr>
      </w:pPr>
      <w:r>
        <w:rPr>
          <w:color w:val="231F20"/>
          <w:sz w:val="18"/>
        </w:rPr>
        <w:t>Heinonen, S., Karjalainen, J., Ruotsalainen, J. &amp; Steinmüller, K. (2017). Surprise as the new normal: Implications for energy security. European Journal of Futures Research, 5(1), 1-13. https:// doi:10.1007/s40309-017-0117-5.</w:t>
      </w:r>
    </w:p>
    <w:p>
      <w:pPr>
        <w:spacing w:after="0" w:line="254" w:lineRule="auto"/>
        <w:jc w:val="both"/>
        <w:rPr>
          <w:sz w:val="18"/>
        </w:rPr>
        <w:sectPr>
          <w:pgSz w:w="9530" w:h="13610"/>
          <w:pgMar w:header="700" w:footer="344" w:top="1060" w:bottom="540" w:left="740" w:right="740"/>
        </w:sectPr>
      </w:pPr>
    </w:p>
    <w:p>
      <w:pPr>
        <w:pStyle w:val="BodyText"/>
      </w:pPr>
    </w:p>
    <w:p>
      <w:pPr>
        <w:pStyle w:val="BodyText"/>
        <w:spacing w:before="5"/>
      </w:pPr>
    </w:p>
    <w:p>
      <w:pPr>
        <w:spacing w:line="254" w:lineRule="auto" w:before="0"/>
        <w:ind w:left="819" w:right="248" w:hanging="567"/>
        <w:jc w:val="both"/>
        <w:rPr>
          <w:sz w:val="18"/>
        </w:rPr>
      </w:pPr>
      <w:r>
        <w:rPr>
          <w:color w:val="231F20"/>
          <w:sz w:val="18"/>
        </w:rPr>
        <w:t>Henson,</w:t>
      </w:r>
      <w:r>
        <w:rPr>
          <w:color w:val="231F20"/>
          <w:spacing w:val="-7"/>
          <w:sz w:val="18"/>
        </w:rPr>
        <w:t> </w:t>
      </w:r>
      <w:r>
        <w:rPr>
          <w:color w:val="231F20"/>
          <w:sz w:val="18"/>
        </w:rPr>
        <w:t>R.</w:t>
      </w:r>
      <w:r>
        <w:rPr>
          <w:color w:val="231F20"/>
          <w:spacing w:val="-7"/>
          <w:sz w:val="18"/>
        </w:rPr>
        <w:t> </w:t>
      </w:r>
      <w:r>
        <w:rPr>
          <w:color w:val="231F20"/>
          <w:sz w:val="18"/>
        </w:rPr>
        <w:t>K.</w:t>
      </w:r>
      <w:r>
        <w:rPr>
          <w:color w:val="231F20"/>
          <w:spacing w:val="-7"/>
          <w:sz w:val="18"/>
        </w:rPr>
        <w:t> </w:t>
      </w:r>
      <w:r>
        <w:rPr>
          <w:color w:val="231F20"/>
          <w:sz w:val="18"/>
        </w:rPr>
        <w:t>&amp;</w:t>
      </w:r>
      <w:r>
        <w:rPr>
          <w:color w:val="231F20"/>
          <w:spacing w:val="-6"/>
          <w:sz w:val="18"/>
        </w:rPr>
        <w:t> </w:t>
      </w:r>
      <w:r>
        <w:rPr>
          <w:color w:val="231F20"/>
          <w:sz w:val="18"/>
        </w:rPr>
        <w:t>Roberts,</w:t>
      </w:r>
      <w:r>
        <w:rPr>
          <w:color w:val="231F20"/>
          <w:spacing w:val="-7"/>
          <w:sz w:val="18"/>
        </w:rPr>
        <w:t> </w:t>
      </w:r>
      <w:r>
        <w:rPr>
          <w:color w:val="231F20"/>
          <w:sz w:val="18"/>
        </w:rPr>
        <w:t>J.</w:t>
      </w:r>
      <w:r>
        <w:rPr>
          <w:color w:val="231F20"/>
          <w:spacing w:val="-7"/>
          <w:sz w:val="18"/>
        </w:rPr>
        <w:t> </w:t>
      </w:r>
      <w:r>
        <w:rPr>
          <w:color w:val="231F20"/>
          <w:sz w:val="18"/>
        </w:rPr>
        <w:t>K.</w:t>
      </w:r>
      <w:r>
        <w:rPr>
          <w:color w:val="231F20"/>
          <w:spacing w:val="-7"/>
          <w:sz w:val="18"/>
        </w:rPr>
        <w:t> </w:t>
      </w:r>
      <w:r>
        <w:rPr>
          <w:color w:val="231F20"/>
          <w:sz w:val="18"/>
        </w:rPr>
        <w:t>(2006).</w:t>
      </w:r>
      <w:r>
        <w:rPr>
          <w:color w:val="231F20"/>
          <w:spacing w:val="-6"/>
          <w:sz w:val="18"/>
        </w:rPr>
        <w:t> </w:t>
      </w:r>
      <w:r>
        <w:rPr>
          <w:color w:val="231F20"/>
          <w:sz w:val="18"/>
        </w:rPr>
        <w:t>Use</w:t>
      </w:r>
      <w:r>
        <w:rPr>
          <w:color w:val="231F20"/>
          <w:spacing w:val="-7"/>
          <w:sz w:val="18"/>
        </w:rPr>
        <w:t> </w:t>
      </w:r>
      <w:r>
        <w:rPr>
          <w:color w:val="231F20"/>
          <w:sz w:val="18"/>
        </w:rPr>
        <w:t>of</w:t>
      </w:r>
      <w:r>
        <w:rPr>
          <w:color w:val="231F20"/>
          <w:spacing w:val="-7"/>
          <w:sz w:val="18"/>
        </w:rPr>
        <w:t> </w:t>
      </w:r>
      <w:r>
        <w:rPr>
          <w:color w:val="231F20"/>
          <w:sz w:val="18"/>
        </w:rPr>
        <w:t>exploratory</w:t>
      </w:r>
      <w:r>
        <w:rPr>
          <w:color w:val="231F20"/>
          <w:spacing w:val="-6"/>
          <w:sz w:val="18"/>
        </w:rPr>
        <w:t> </w:t>
      </w:r>
      <w:r>
        <w:rPr>
          <w:color w:val="231F20"/>
          <w:sz w:val="18"/>
        </w:rPr>
        <w:t>factor</w:t>
      </w:r>
      <w:r>
        <w:rPr>
          <w:color w:val="231F20"/>
          <w:spacing w:val="-7"/>
          <w:sz w:val="18"/>
        </w:rPr>
        <w:t> </w:t>
      </w:r>
      <w:r>
        <w:rPr>
          <w:color w:val="231F20"/>
          <w:sz w:val="18"/>
        </w:rPr>
        <w:t>analysis</w:t>
      </w:r>
      <w:r>
        <w:rPr>
          <w:color w:val="231F20"/>
          <w:spacing w:val="-7"/>
          <w:sz w:val="18"/>
        </w:rPr>
        <w:t> </w:t>
      </w:r>
      <w:r>
        <w:rPr>
          <w:color w:val="231F20"/>
          <w:sz w:val="18"/>
        </w:rPr>
        <w:t>in</w:t>
      </w:r>
      <w:r>
        <w:rPr>
          <w:color w:val="231F20"/>
          <w:spacing w:val="-7"/>
          <w:sz w:val="18"/>
        </w:rPr>
        <w:t> </w:t>
      </w:r>
      <w:r>
        <w:rPr>
          <w:color w:val="231F20"/>
          <w:sz w:val="18"/>
        </w:rPr>
        <w:t>published</w:t>
      </w:r>
      <w:r>
        <w:rPr>
          <w:color w:val="231F20"/>
          <w:spacing w:val="-6"/>
          <w:sz w:val="18"/>
        </w:rPr>
        <w:t> </w:t>
      </w:r>
      <w:r>
        <w:rPr>
          <w:color w:val="231F20"/>
          <w:sz w:val="18"/>
        </w:rPr>
        <w:t>research:</w:t>
      </w:r>
      <w:r>
        <w:rPr>
          <w:color w:val="231F20"/>
          <w:spacing w:val="-7"/>
          <w:sz w:val="18"/>
        </w:rPr>
        <w:t> </w:t>
      </w:r>
      <w:r>
        <w:rPr>
          <w:color w:val="231F20"/>
          <w:sz w:val="18"/>
        </w:rPr>
        <w:t>Common errors and some comment on improved practice. Educational and Psychological measurement, 66(3), 393-416.</w:t>
      </w:r>
    </w:p>
    <w:p>
      <w:pPr>
        <w:spacing w:before="59"/>
        <w:ind w:left="252" w:right="0" w:firstLine="0"/>
        <w:jc w:val="both"/>
        <w:rPr>
          <w:sz w:val="18"/>
        </w:rPr>
      </w:pPr>
      <w:r>
        <w:rPr>
          <w:color w:val="231F20"/>
          <w:sz w:val="18"/>
        </w:rPr>
        <w:t>Highsmith, J. (2002). Agile software development ecosystems. Addison-Wesley.</w:t>
      </w:r>
    </w:p>
    <w:p>
      <w:pPr>
        <w:spacing w:line="254" w:lineRule="auto" w:before="69"/>
        <w:ind w:left="819" w:right="250" w:hanging="567"/>
        <w:jc w:val="both"/>
        <w:rPr>
          <w:sz w:val="18"/>
        </w:rPr>
      </w:pPr>
      <w:r>
        <w:rPr>
          <w:color w:val="231F20"/>
          <w:sz w:val="18"/>
        </w:rPr>
        <w:t>Homey, N., Pasmore B. &amp;. O’Shea T. (2010). Leadership agility: A business imperative for a VUCA world. People and Strategy, 33(4), 32-38.</w:t>
      </w:r>
    </w:p>
    <w:p>
      <w:pPr>
        <w:spacing w:line="254" w:lineRule="auto" w:before="58"/>
        <w:ind w:left="819" w:right="252" w:hanging="567"/>
        <w:jc w:val="both"/>
        <w:rPr>
          <w:sz w:val="18"/>
        </w:rPr>
      </w:pPr>
      <w:r>
        <w:rPr>
          <w:color w:val="231F20"/>
          <w:sz w:val="18"/>
        </w:rPr>
        <w:t>Hooper,</w:t>
      </w:r>
      <w:r>
        <w:rPr>
          <w:color w:val="231F20"/>
          <w:spacing w:val="-20"/>
          <w:sz w:val="18"/>
        </w:rPr>
        <w:t> </w:t>
      </w:r>
      <w:r>
        <w:rPr>
          <w:color w:val="231F20"/>
          <w:sz w:val="18"/>
        </w:rPr>
        <w:t>D.,</w:t>
      </w:r>
      <w:r>
        <w:rPr>
          <w:color w:val="231F20"/>
          <w:spacing w:val="-19"/>
          <w:sz w:val="18"/>
        </w:rPr>
        <w:t> </w:t>
      </w:r>
      <w:r>
        <w:rPr>
          <w:color w:val="231F20"/>
          <w:sz w:val="18"/>
        </w:rPr>
        <w:t>Coughlan</w:t>
      </w:r>
      <w:r>
        <w:rPr>
          <w:color w:val="231F20"/>
          <w:spacing w:val="-19"/>
          <w:sz w:val="18"/>
        </w:rPr>
        <w:t> </w:t>
      </w:r>
      <w:r>
        <w:rPr>
          <w:color w:val="231F20"/>
          <w:sz w:val="18"/>
        </w:rPr>
        <w:t>J.</w:t>
      </w:r>
      <w:r>
        <w:rPr>
          <w:color w:val="231F20"/>
          <w:spacing w:val="-19"/>
          <w:sz w:val="18"/>
        </w:rPr>
        <w:t> </w:t>
      </w:r>
      <w:r>
        <w:rPr>
          <w:color w:val="231F20"/>
          <w:sz w:val="18"/>
        </w:rPr>
        <w:t>&amp;</w:t>
      </w:r>
      <w:r>
        <w:rPr>
          <w:color w:val="231F20"/>
          <w:spacing w:val="-19"/>
          <w:sz w:val="18"/>
        </w:rPr>
        <w:t> </w:t>
      </w:r>
      <w:r>
        <w:rPr>
          <w:color w:val="231F20"/>
          <w:sz w:val="18"/>
        </w:rPr>
        <w:t>Mullen</w:t>
      </w:r>
      <w:r>
        <w:rPr>
          <w:color w:val="231F20"/>
          <w:spacing w:val="-19"/>
          <w:sz w:val="18"/>
        </w:rPr>
        <w:t> </w:t>
      </w:r>
      <w:r>
        <w:rPr>
          <w:color w:val="231F20"/>
          <w:sz w:val="18"/>
        </w:rPr>
        <w:t>M.</w:t>
      </w:r>
      <w:r>
        <w:rPr>
          <w:color w:val="231F20"/>
          <w:spacing w:val="-19"/>
          <w:sz w:val="18"/>
        </w:rPr>
        <w:t> </w:t>
      </w:r>
      <w:r>
        <w:rPr>
          <w:color w:val="231F20"/>
          <w:sz w:val="18"/>
        </w:rPr>
        <w:t>R.</w:t>
      </w:r>
      <w:r>
        <w:rPr>
          <w:color w:val="231F20"/>
          <w:spacing w:val="-19"/>
          <w:sz w:val="18"/>
        </w:rPr>
        <w:t> </w:t>
      </w:r>
      <w:r>
        <w:rPr>
          <w:color w:val="231F20"/>
          <w:sz w:val="18"/>
        </w:rPr>
        <w:t>(2008).</w:t>
      </w:r>
      <w:r>
        <w:rPr>
          <w:color w:val="231F20"/>
          <w:spacing w:val="-20"/>
          <w:sz w:val="18"/>
        </w:rPr>
        <w:t> </w:t>
      </w:r>
      <w:r>
        <w:rPr>
          <w:color w:val="231F20"/>
          <w:sz w:val="18"/>
        </w:rPr>
        <w:t>Structural</w:t>
      </w:r>
      <w:r>
        <w:rPr>
          <w:color w:val="231F20"/>
          <w:spacing w:val="-19"/>
          <w:sz w:val="18"/>
        </w:rPr>
        <w:t> </w:t>
      </w:r>
      <w:r>
        <w:rPr>
          <w:color w:val="231F20"/>
          <w:sz w:val="18"/>
        </w:rPr>
        <w:t>equation</w:t>
      </w:r>
      <w:r>
        <w:rPr>
          <w:color w:val="231F20"/>
          <w:spacing w:val="-19"/>
          <w:sz w:val="18"/>
        </w:rPr>
        <w:t> </w:t>
      </w:r>
      <w:r>
        <w:rPr>
          <w:color w:val="231F20"/>
          <w:sz w:val="18"/>
        </w:rPr>
        <w:t>modelling:</w:t>
      </w:r>
      <w:r>
        <w:rPr>
          <w:color w:val="231F20"/>
          <w:spacing w:val="-19"/>
          <w:sz w:val="18"/>
        </w:rPr>
        <w:t> </w:t>
      </w:r>
      <w:r>
        <w:rPr>
          <w:color w:val="231F20"/>
          <w:sz w:val="18"/>
        </w:rPr>
        <w:t>Guidelines</w:t>
      </w:r>
      <w:r>
        <w:rPr>
          <w:color w:val="231F20"/>
          <w:spacing w:val="-19"/>
          <w:sz w:val="18"/>
        </w:rPr>
        <w:t> </w:t>
      </w:r>
      <w:r>
        <w:rPr>
          <w:color w:val="231F20"/>
          <w:sz w:val="18"/>
        </w:rPr>
        <w:t>for</w:t>
      </w:r>
      <w:r>
        <w:rPr>
          <w:color w:val="231F20"/>
          <w:spacing w:val="-19"/>
          <w:sz w:val="18"/>
        </w:rPr>
        <w:t> </w:t>
      </w:r>
      <w:r>
        <w:rPr>
          <w:color w:val="231F20"/>
          <w:sz w:val="18"/>
        </w:rPr>
        <w:t>determining model fit. Electronic Journal of Business Research Methods, 6 (1),</w:t>
      </w:r>
      <w:r>
        <w:rPr>
          <w:color w:val="231F20"/>
          <w:spacing w:val="-9"/>
          <w:sz w:val="18"/>
        </w:rPr>
        <w:t> </w:t>
      </w:r>
      <w:r>
        <w:rPr>
          <w:color w:val="231F20"/>
          <w:sz w:val="18"/>
        </w:rPr>
        <w:t>53-6.</w:t>
      </w:r>
    </w:p>
    <w:p>
      <w:pPr>
        <w:spacing w:line="254" w:lineRule="auto" w:before="58"/>
        <w:ind w:left="819" w:right="251" w:hanging="567"/>
        <w:jc w:val="both"/>
        <w:rPr>
          <w:sz w:val="18"/>
        </w:rPr>
      </w:pPr>
      <w:r>
        <w:rPr>
          <w:color w:val="231F20"/>
          <w:sz w:val="18"/>
        </w:rPr>
        <w:t>Horney, N. &amp; O’Shea, T. (2015). Focused, fast, and flexible: Creating agility advantage in a VUCA world. Oceanside, CA: Indie.</w:t>
      </w:r>
    </w:p>
    <w:p>
      <w:pPr>
        <w:spacing w:line="254" w:lineRule="auto" w:before="58"/>
        <w:ind w:left="819" w:right="250" w:hanging="567"/>
        <w:jc w:val="both"/>
        <w:rPr>
          <w:sz w:val="18"/>
        </w:rPr>
      </w:pPr>
      <w:r>
        <w:rPr>
          <w:color w:val="231F20"/>
          <w:sz w:val="18"/>
        </w:rPr>
        <w:t>Horney, N., Pasmore, B. &amp; O’Shea, T. (2010). Leadership agility: A business ımperative for a VUCA world. People and Strategy, 33(4), 32-38.</w:t>
      </w:r>
    </w:p>
    <w:p>
      <w:pPr>
        <w:spacing w:line="254" w:lineRule="auto" w:before="58"/>
        <w:ind w:left="819" w:right="249" w:hanging="567"/>
        <w:jc w:val="both"/>
        <w:rPr>
          <w:sz w:val="18"/>
        </w:rPr>
      </w:pPr>
      <w:r>
        <w:rPr>
          <w:color w:val="231F20"/>
          <w:sz w:val="18"/>
        </w:rPr>
        <w:t>Hu, L. T. &amp; Bentler, P. M. (1999). Cutoff criteria for fit indexes in covariance structure analysis: Conventional</w:t>
      </w:r>
      <w:r>
        <w:rPr>
          <w:color w:val="231F20"/>
          <w:spacing w:val="-9"/>
          <w:sz w:val="18"/>
        </w:rPr>
        <w:t> </w:t>
      </w:r>
      <w:r>
        <w:rPr>
          <w:color w:val="231F20"/>
          <w:sz w:val="18"/>
        </w:rPr>
        <w:t>criteria</w:t>
      </w:r>
      <w:r>
        <w:rPr>
          <w:color w:val="231F20"/>
          <w:spacing w:val="-8"/>
          <w:sz w:val="18"/>
        </w:rPr>
        <w:t> </w:t>
      </w:r>
      <w:r>
        <w:rPr>
          <w:color w:val="231F20"/>
          <w:sz w:val="18"/>
        </w:rPr>
        <w:t>versus</w:t>
      </w:r>
      <w:r>
        <w:rPr>
          <w:color w:val="231F20"/>
          <w:spacing w:val="-7"/>
          <w:sz w:val="18"/>
        </w:rPr>
        <w:t> </w:t>
      </w:r>
      <w:r>
        <w:rPr>
          <w:color w:val="231F20"/>
          <w:sz w:val="18"/>
        </w:rPr>
        <w:t>new</w:t>
      </w:r>
      <w:r>
        <w:rPr>
          <w:color w:val="231F20"/>
          <w:spacing w:val="-8"/>
          <w:sz w:val="18"/>
        </w:rPr>
        <w:t> </w:t>
      </w:r>
      <w:r>
        <w:rPr>
          <w:color w:val="231F20"/>
          <w:sz w:val="18"/>
        </w:rPr>
        <w:t>alternatives.</w:t>
      </w:r>
      <w:r>
        <w:rPr>
          <w:color w:val="231F20"/>
          <w:spacing w:val="-8"/>
          <w:sz w:val="18"/>
        </w:rPr>
        <w:t> </w:t>
      </w:r>
      <w:r>
        <w:rPr>
          <w:color w:val="231F20"/>
          <w:sz w:val="18"/>
        </w:rPr>
        <w:t>Structural</w:t>
      </w:r>
      <w:r>
        <w:rPr>
          <w:color w:val="231F20"/>
          <w:spacing w:val="-8"/>
          <w:sz w:val="18"/>
        </w:rPr>
        <w:t> </w:t>
      </w:r>
      <w:r>
        <w:rPr>
          <w:color w:val="231F20"/>
          <w:sz w:val="18"/>
        </w:rPr>
        <w:t>Equation</w:t>
      </w:r>
      <w:r>
        <w:rPr>
          <w:color w:val="231F20"/>
          <w:spacing w:val="-8"/>
          <w:sz w:val="18"/>
        </w:rPr>
        <w:t> </w:t>
      </w:r>
      <w:r>
        <w:rPr>
          <w:color w:val="231F20"/>
          <w:sz w:val="18"/>
        </w:rPr>
        <w:t>Modeling:</w:t>
      </w:r>
      <w:r>
        <w:rPr>
          <w:color w:val="231F20"/>
          <w:spacing w:val="-8"/>
          <w:sz w:val="18"/>
        </w:rPr>
        <w:t> </w:t>
      </w:r>
      <w:r>
        <w:rPr>
          <w:color w:val="231F20"/>
          <w:sz w:val="18"/>
        </w:rPr>
        <w:t>A</w:t>
      </w:r>
      <w:r>
        <w:rPr>
          <w:color w:val="231F20"/>
          <w:spacing w:val="-7"/>
          <w:sz w:val="18"/>
        </w:rPr>
        <w:t> </w:t>
      </w:r>
      <w:r>
        <w:rPr>
          <w:color w:val="231F20"/>
          <w:sz w:val="18"/>
        </w:rPr>
        <w:t>Multidisciplinary Journal, </w:t>
      </w:r>
      <w:hyperlink r:id="rId47">
        <w:r>
          <w:rPr>
            <w:color w:val="231F20"/>
            <w:sz w:val="18"/>
          </w:rPr>
          <w:t>6(1), 1-55.</w:t>
        </w:r>
        <w:r>
          <w:rPr>
            <w:color w:val="231F20"/>
            <w:spacing w:val="-2"/>
            <w:sz w:val="18"/>
          </w:rPr>
          <w:t> </w:t>
        </w:r>
        <w:r>
          <w:rPr>
            <w:color w:val="231F20"/>
            <w:sz w:val="18"/>
          </w:rPr>
          <w:t>https://doi.org/10.1080/10705519909540118</w:t>
        </w:r>
      </w:hyperlink>
      <w:r>
        <w:rPr>
          <w:color w:val="231F20"/>
          <w:sz w:val="18"/>
        </w:rPr>
        <w:t>.</w:t>
      </w:r>
    </w:p>
    <w:p>
      <w:pPr>
        <w:spacing w:line="254" w:lineRule="auto" w:before="58"/>
        <w:ind w:left="819" w:right="251" w:hanging="567"/>
        <w:jc w:val="both"/>
        <w:rPr>
          <w:sz w:val="18"/>
        </w:rPr>
      </w:pPr>
      <w:r>
        <w:rPr>
          <w:color w:val="231F20"/>
          <w:sz w:val="18"/>
        </w:rPr>
        <w:t>Jackson, M. &amp; Johansson, C. (2003). An agility analysis from a production system. Integrated Manufacturing Systems, 14(6), 482-488. https://doi:10.1108/09576060310491342.</w:t>
      </w:r>
    </w:p>
    <w:p>
      <w:pPr>
        <w:spacing w:line="254" w:lineRule="auto" w:before="58"/>
        <w:ind w:left="819" w:right="252" w:hanging="567"/>
        <w:jc w:val="both"/>
        <w:rPr>
          <w:sz w:val="18"/>
        </w:rPr>
      </w:pPr>
      <w:r>
        <w:rPr>
          <w:color w:val="231F20"/>
          <w:sz w:val="18"/>
        </w:rPr>
        <w:t>Johansen, B. &amp; Euchner, J. (2013). Navigating the VUCA world. Research-Technology Management, </w:t>
      </w:r>
      <w:hyperlink r:id="rId48">
        <w:r>
          <w:rPr>
            <w:color w:val="231F20"/>
            <w:sz w:val="18"/>
          </w:rPr>
          <w:t>56(1), 10-15. https://doi.org/10.5437/08956308X5601003</w:t>
        </w:r>
      </w:hyperlink>
      <w:r>
        <w:rPr>
          <w:color w:val="231F20"/>
          <w:sz w:val="18"/>
        </w:rPr>
        <w:t>.</w:t>
      </w:r>
    </w:p>
    <w:p>
      <w:pPr>
        <w:spacing w:line="321" w:lineRule="auto" w:before="58"/>
        <w:ind w:left="252" w:right="251" w:firstLine="0"/>
        <w:jc w:val="both"/>
        <w:rPr>
          <w:sz w:val="18"/>
        </w:rPr>
      </w:pPr>
      <w:r>
        <w:rPr>
          <w:color w:val="231F20"/>
          <w:sz w:val="18"/>
        </w:rPr>
        <w:t>Johansen, B. (2007). Get there early: Sensing the future to compete in the present. San Berrett-Koehler. Johnson,</w:t>
      </w:r>
      <w:r>
        <w:rPr>
          <w:color w:val="231F20"/>
          <w:spacing w:val="5"/>
          <w:sz w:val="18"/>
        </w:rPr>
        <w:t> </w:t>
      </w:r>
      <w:r>
        <w:rPr>
          <w:color w:val="231F20"/>
          <w:sz w:val="18"/>
        </w:rPr>
        <w:t>A.</w:t>
      </w:r>
      <w:r>
        <w:rPr>
          <w:color w:val="231F20"/>
          <w:spacing w:val="5"/>
          <w:sz w:val="18"/>
        </w:rPr>
        <w:t> </w:t>
      </w:r>
      <w:r>
        <w:rPr>
          <w:color w:val="231F20"/>
          <w:sz w:val="18"/>
        </w:rPr>
        <w:t>J.</w:t>
      </w:r>
      <w:r>
        <w:rPr>
          <w:color w:val="231F20"/>
          <w:spacing w:val="5"/>
          <w:sz w:val="18"/>
        </w:rPr>
        <w:t> </w:t>
      </w:r>
      <w:r>
        <w:rPr>
          <w:color w:val="231F20"/>
          <w:sz w:val="18"/>
        </w:rPr>
        <w:t>&amp;</w:t>
      </w:r>
      <w:r>
        <w:rPr>
          <w:color w:val="231F20"/>
          <w:spacing w:val="5"/>
          <w:sz w:val="18"/>
        </w:rPr>
        <w:t> </w:t>
      </w:r>
      <w:r>
        <w:rPr>
          <w:color w:val="231F20"/>
          <w:sz w:val="18"/>
        </w:rPr>
        <w:t>Veldsman,</w:t>
      </w:r>
      <w:r>
        <w:rPr>
          <w:color w:val="231F20"/>
          <w:spacing w:val="5"/>
          <w:sz w:val="18"/>
        </w:rPr>
        <w:t> </w:t>
      </w:r>
      <w:r>
        <w:rPr>
          <w:color w:val="231F20"/>
          <w:sz w:val="18"/>
        </w:rPr>
        <w:t>T.</w:t>
      </w:r>
      <w:r>
        <w:rPr>
          <w:color w:val="231F20"/>
          <w:spacing w:val="5"/>
          <w:sz w:val="18"/>
        </w:rPr>
        <w:t> </w:t>
      </w:r>
      <w:r>
        <w:rPr>
          <w:color w:val="231F20"/>
          <w:sz w:val="18"/>
        </w:rPr>
        <w:t>H.</w:t>
      </w:r>
      <w:r>
        <w:rPr>
          <w:color w:val="231F20"/>
          <w:spacing w:val="5"/>
          <w:sz w:val="18"/>
        </w:rPr>
        <w:t> </w:t>
      </w:r>
      <w:r>
        <w:rPr>
          <w:color w:val="231F20"/>
          <w:sz w:val="18"/>
        </w:rPr>
        <w:t>(2017,</w:t>
      </w:r>
      <w:r>
        <w:rPr>
          <w:color w:val="231F20"/>
          <w:spacing w:val="5"/>
          <w:sz w:val="18"/>
        </w:rPr>
        <w:t> </w:t>
      </w:r>
      <w:r>
        <w:rPr>
          <w:color w:val="231F20"/>
          <w:sz w:val="18"/>
        </w:rPr>
        <w:t>October,</w:t>
      </w:r>
      <w:r>
        <w:rPr>
          <w:color w:val="231F20"/>
          <w:spacing w:val="6"/>
          <w:sz w:val="18"/>
        </w:rPr>
        <w:t> </w:t>
      </w:r>
      <w:r>
        <w:rPr>
          <w:color w:val="231F20"/>
          <w:sz w:val="18"/>
        </w:rPr>
        <w:t>2).</w:t>
      </w:r>
      <w:r>
        <w:rPr>
          <w:color w:val="231F20"/>
          <w:spacing w:val="5"/>
          <w:sz w:val="18"/>
        </w:rPr>
        <w:t> </w:t>
      </w:r>
      <w:r>
        <w:rPr>
          <w:color w:val="231F20"/>
          <w:sz w:val="18"/>
        </w:rPr>
        <w:t>The</w:t>
      </w:r>
      <w:r>
        <w:rPr>
          <w:color w:val="231F20"/>
          <w:spacing w:val="5"/>
          <w:sz w:val="18"/>
        </w:rPr>
        <w:t> </w:t>
      </w:r>
      <w:r>
        <w:rPr>
          <w:color w:val="231F20"/>
          <w:sz w:val="18"/>
        </w:rPr>
        <w:t>future</w:t>
      </w:r>
      <w:r>
        <w:rPr>
          <w:color w:val="231F20"/>
          <w:spacing w:val="5"/>
          <w:sz w:val="18"/>
        </w:rPr>
        <w:t> </w:t>
      </w:r>
      <w:r>
        <w:rPr>
          <w:color w:val="231F20"/>
          <w:sz w:val="18"/>
        </w:rPr>
        <w:t>of</w:t>
      </w:r>
      <w:r>
        <w:rPr>
          <w:color w:val="231F20"/>
          <w:spacing w:val="5"/>
          <w:sz w:val="18"/>
        </w:rPr>
        <w:t> </w:t>
      </w:r>
      <w:r>
        <w:rPr>
          <w:color w:val="231F20"/>
          <w:sz w:val="18"/>
        </w:rPr>
        <w:t>leadership.</w:t>
      </w:r>
      <w:r>
        <w:rPr>
          <w:color w:val="231F20"/>
          <w:spacing w:val="5"/>
          <w:sz w:val="18"/>
        </w:rPr>
        <w:t> </w:t>
      </w:r>
      <w:r>
        <w:rPr>
          <w:color w:val="231F20"/>
          <w:sz w:val="18"/>
        </w:rPr>
        <w:t>In</w:t>
      </w:r>
      <w:r>
        <w:rPr>
          <w:color w:val="231F20"/>
          <w:spacing w:val="5"/>
          <w:sz w:val="18"/>
        </w:rPr>
        <w:t> </w:t>
      </w:r>
      <w:r>
        <w:rPr>
          <w:color w:val="231F20"/>
          <w:sz w:val="18"/>
        </w:rPr>
        <w:t>A.J.</w:t>
      </w:r>
      <w:r>
        <w:rPr>
          <w:color w:val="231F20"/>
          <w:spacing w:val="5"/>
          <w:sz w:val="18"/>
        </w:rPr>
        <w:t> </w:t>
      </w:r>
      <w:r>
        <w:rPr>
          <w:color w:val="231F20"/>
          <w:sz w:val="18"/>
        </w:rPr>
        <w:t>Johnson</w:t>
      </w:r>
      <w:r>
        <w:rPr>
          <w:color w:val="231F20"/>
          <w:spacing w:val="5"/>
          <w:sz w:val="18"/>
        </w:rPr>
        <w:t> </w:t>
      </w:r>
      <w:r>
        <w:rPr>
          <w:color w:val="231F20"/>
          <w:sz w:val="18"/>
        </w:rPr>
        <w:t>&amp;</w:t>
      </w:r>
      <w:r>
        <w:rPr>
          <w:color w:val="231F20"/>
          <w:spacing w:val="6"/>
          <w:sz w:val="18"/>
        </w:rPr>
        <w:t> </w:t>
      </w:r>
      <w:r>
        <w:rPr>
          <w:color w:val="231F20"/>
          <w:sz w:val="18"/>
        </w:rPr>
        <w:t>T.H.</w:t>
      </w:r>
    </w:p>
    <w:p>
      <w:pPr>
        <w:spacing w:line="149" w:lineRule="exact" w:before="0"/>
        <w:ind w:left="819" w:right="0" w:firstLine="0"/>
        <w:jc w:val="left"/>
        <w:rPr>
          <w:sz w:val="18"/>
        </w:rPr>
      </w:pPr>
      <w:r>
        <w:rPr>
          <w:color w:val="231F20"/>
          <w:sz w:val="18"/>
        </w:rPr>
        <w:t>Veldsman</w:t>
      </w:r>
      <w:r>
        <w:rPr>
          <w:color w:val="231F20"/>
          <w:spacing w:val="25"/>
          <w:sz w:val="18"/>
        </w:rPr>
        <w:t> </w:t>
      </w:r>
      <w:r>
        <w:rPr>
          <w:color w:val="231F20"/>
          <w:sz w:val="18"/>
        </w:rPr>
        <w:t>(Eds.),</w:t>
      </w:r>
      <w:r>
        <w:rPr>
          <w:color w:val="231F20"/>
          <w:spacing w:val="25"/>
          <w:sz w:val="18"/>
        </w:rPr>
        <w:t> </w:t>
      </w:r>
      <w:r>
        <w:rPr>
          <w:color w:val="231F20"/>
          <w:sz w:val="18"/>
        </w:rPr>
        <w:t>Leadership</w:t>
      </w:r>
      <w:r>
        <w:rPr>
          <w:color w:val="231F20"/>
          <w:spacing w:val="25"/>
          <w:sz w:val="18"/>
        </w:rPr>
        <w:t> </w:t>
      </w:r>
      <w:r>
        <w:rPr>
          <w:color w:val="231F20"/>
          <w:sz w:val="18"/>
        </w:rPr>
        <w:t>dynamics</w:t>
      </w:r>
      <w:r>
        <w:rPr>
          <w:color w:val="231F20"/>
          <w:spacing w:val="25"/>
          <w:sz w:val="18"/>
        </w:rPr>
        <w:t> </w:t>
      </w:r>
      <w:r>
        <w:rPr>
          <w:color w:val="231F20"/>
          <w:sz w:val="18"/>
        </w:rPr>
        <w:t>and</w:t>
      </w:r>
      <w:r>
        <w:rPr>
          <w:color w:val="231F20"/>
          <w:spacing w:val="25"/>
          <w:sz w:val="18"/>
        </w:rPr>
        <w:t> </w:t>
      </w:r>
      <w:r>
        <w:rPr>
          <w:color w:val="231F20"/>
          <w:sz w:val="18"/>
        </w:rPr>
        <w:t>well</w:t>
      </w:r>
      <w:r>
        <w:rPr>
          <w:color w:val="231F20"/>
          <w:spacing w:val="25"/>
          <w:sz w:val="18"/>
        </w:rPr>
        <w:t> </w:t>
      </w:r>
      <w:r>
        <w:rPr>
          <w:color w:val="231F20"/>
          <w:sz w:val="18"/>
        </w:rPr>
        <w:t>being:</w:t>
      </w:r>
      <w:r>
        <w:rPr>
          <w:color w:val="231F20"/>
          <w:spacing w:val="25"/>
          <w:sz w:val="18"/>
        </w:rPr>
        <w:t> </w:t>
      </w:r>
      <w:r>
        <w:rPr>
          <w:color w:val="231F20"/>
          <w:sz w:val="18"/>
        </w:rPr>
        <w:t>Perspectives</w:t>
      </w:r>
      <w:r>
        <w:rPr>
          <w:color w:val="231F20"/>
          <w:spacing w:val="25"/>
          <w:sz w:val="18"/>
        </w:rPr>
        <w:t> </w:t>
      </w:r>
      <w:r>
        <w:rPr>
          <w:color w:val="231F20"/>
          <w:sz w:val="18"/>
        </w:rPr>
        <w:t>from</w:t>
      </w:r>
      <w:r>
        <w:rPr>
          <w:color w:val="231F20"/>
          <w:spacing w:val="25"/>
          <w:sz w:val="18"/>
        </w:rPr>
        <w:t> </w:t>
      </w:r>
      <w:r>
        <w:rPr>
          <w:color w:val="231F20"/>
          <w:sz w:val="18"/>
        </w:rPr>
        <w:t>the</w:t>
      </w:r>
      <w:r>
        <w:rPr>
          <w:color w:val="231F20"/>
          <w:spacing w:val="25"/>
          <w:sz w:val="18"/>
        </w:rPr>
        <w:t> </w:t>
      </w:r>
      <w:r>
        <w:rPr>
          <w:color w:val="231F20"/>
          <w:sz w:val="18"/>
        </w:rPr>
        <w:t>front</w:t>
      </w:r>
      <w:r>
        <w:rPr>
          <w:color w:val="231F20"/>
          <w:spacing w:val="25"/>
          <w:sz w:val="18"/>
        </w:rPr>
        <w:t> </w:t>
      </w:r>
      <w:r>
        <w:rPr>
          <w:color w:val="231F20"/>
          <w:sz w:val="18"/>
        </w:rPr>
        <w:t>line.</w:t>
      </w:r>
      <w:r>
        <w:rPr>
          <w:color w:val="231F20"/>
          <w:spacing w:val="26"/>
          <w:sz w:val="18"/>
        </w:rPr>
        <w:t> </w:t>
      </w:r>
      <w:r>
        <w:rPr>
          <w:color w:val="231F20"/>
          <w:sz w:val="18"/>
        </w:rPr>
        <w:t>KR</w:t>
      </w:r>
    </w:p>
    <w:p>
      <w:pPr>
        <w:spacing w:before="12"/>
        <w:ind w:left="819" w:right="0" w:firstLine="0"/>
        <w:jc w:val="left"/>
        <w:rPr>
          <w:sz w:val="18"/>
        </w:rPr>
      </w:pPr>
      <w:r>
        <w:rPr>
          <w:color w:val="231F20"/>
          <w:sz w:val="18"/>
        </w:rPr>
        <w:t>Publishing.</w:t>
      </w:r>
    </w:p>
    <w:p>
      <w:pPr>
        <w:spacing w:line="254" w:lineRule="auto" w:before="70"/>
        <w:ind w:left="819" w:right="248" w:hanging="567"/>
        <w:jc w:val="both"/>
        <w:rPr>
          <w:sz w:val="18"/>
        </w:rPr>
      </w:pPr>
      <w:r>
        <w:rPr>
          <w:color w:val="231F20"/>
          <w:sz w:val="18"/>
        </w:rPr>
        <w:t>Joiner, B. &amp; Josephs, S. (2007). Leadership agility-five levels of mastery for anticipating and initiating change. John Wiley &amp; Sons, Inc.</w:t>
      </w:r>
    </w:p>
    <w:p>
      <w:pPr>
        <w:spacing w:line="254" w:lineRule="auto" w:before="58"/>
        <w:ind w:left="819" w:right="250" w:hanging="567"/>
        <w:jc w:val="both"/>
        <w:rPr>
          <w:sz w:val="18"/>
        </w:rPr>
      </w:pPr>
      <w:r>
        <w:rPr>
          <w:color w:val="231F20"/>
          <w:sz w:val="18"/>
        </w:rPr>
        <w:t>Joiner, B. (2019). Creating a culture of agile leaders: A developmental approach. People &amp; Strategy, 32(4), 29-35.</w:t>
      </w:r>
    </w:p>
    <w:p>
      <w:pPr>
        <w:spacing w:line="254" w:lineRule="auto" w:before="58"/>
        <w:ind w:left="819" w:right="249" w:hanging="567"/>
        <w:jc w:val="both"/>
        <w:rPr>
          <w:sz w:val="18"/>
        </w:rPr>
      </w:pPr>
      <w:r>
        <w:rPr>
          <w:color w:val="231F20"/>
          <w:sz w:val="18"/>
        </w:rPr>
        <w:t>Kırpık, G. (2020a). COVID-19 pandemisinin insan kaynakları üzerindeki etkisinin akademi, medya ve iş dünyası perspektifinden incelenmesi. MANAS Sosyal Araştırmalar Dergisi, 9(4),</w:t>
      </w:r>
      <w:r>
        <w:rPr>
          <w:color w:val="231F20"/>
          <w:spacing w:val="-32"/>
          <w:sz w:val="18"/>
        </w:rPr>
        <w:t> </w:t>
      </w:r>
      <w:r>
        <w:rPr>
          <w:color w:val="231F20"/>
          <w:sz w:val="18"/>
        </w:rPr>
        <w:t>2394-2406.</w:t>
      </w:r>
    </w:p>
    <w:p>
      <w:pPr>
        <w:spacing w:line="254" w:lineRule="auto" w:before="58"/>
        <w:ind w:left="819" w:right="251" w:hanging="567"/>
        <w:jc w:val="both"/>
        <w:rPr>
          <w:sz w:val="18"/>
        </w:rPr>
      </w:pPr>
      <w:r>
        <w:rPr>
          <w:color w:val="231F20"/>
          <w:sz w:val="18"/>
        </w:rPr>
        <w:t>Kırpık, G. (2020b). Örgütsel davranış çalışmalarında yeni kavramlar: Google Akademik (2019) ve SCI (2020) veri tabanlarına yönelik sistematik literatür taraması. İçinde M. Avcı, E. Kara (ed.), Örgütsel davranış üzerine güncel çalışmalar. İstanbul: Hiperyayın</w:t>
      </w:r>
    </w:p>
    <w:p>
      <w:pPr>
        <w:spacing w:line="321" w:lineRule="auto" w:before="58"/>
        <w:ind w:left="252" w:right="736" w:firstLine="0"/>
        <w:jc w:val="both"/>
        <w:rPr>
          <w:sz w:val="18"/>
        </w:rPr>
      </w:pPr>
      <w:r>
        <w:rPr>
          <w:color w:val="231F20"/>
          <w:sz w:val="18"/>
        </w:rPr>
        <w:t>Kidd, P. T. (1994, July 1). Agile manufacturing: Forging new frontiers (1st ed.). Addison-Wisley. Kinsinger, P. &amp; Walch, K. (2012). Living and leading in a VUCA world. Thunderbird University. Kline, P. (1994). An easy guide to factor analysis. London: Routledge.</w:t>
      </w:r>
    </w:p>
    <w:p>
      <w:pPr>
        <w:spacing w:line="254" w:lineRule="auto" w:before="0"/>
        <w:ind w:left="819" w:right="249" w:hanging="567"/>
        <w:jc w:val="both"/>
        <w:rPr>
          <w:sz w:val="18"/>
        </w:rPr>
      </w:pPr>
      <w:r>
        <w:rPr>
          <w:color w:val="231F20"/>
          <w:sz w:val="18"/>
        </w:rPr>
        <w:t>Kline, P. (2000). Handbook of psychological testing (2nd ed.). London: Routledge </w:t>
      </w:r>
      <w:hyperlink r:id="rId49">
        <w:r>
          <w:rPr>
            <w:color w:val="231F20"/>
            <w:sz w:val="18"/>
          </w:rPr>
          <w:t>https://doi.</w:t>
        </w:r>
      </w:hyperlink>
      <w:r>
        <w:rPr>
          <w:color w:val="231F20"/>
          <w:sz w:val="18"/>
        </w:rPr>
        <w:t> </w:t>
      </w:r>
      <w:hyperlink r:id="rId49">
        <w:r>
          <w:rPr>
            <w:color w:val="231F20"/>
            <w:sz w:val="18"/>
          </w:rPr>
          <w:t>org/10.4324/9781315812274</w:t>
        </w:r>
      </w:hyperlink>
      <w:r>
        <w:rPr>
          <w:color w:val="231F20"/>
          <w:sz w:val="18"/>
        </w:rPr>
        <w:t>.</w:t>
      </w:r>
    </w:p>
    <w:p>
      <w:pPr>
        <w:spacing w:before="56"/>
        <w:ind w:left="252" w:right="0" w:firstLine="0"/>
        <w:jc w:val="both"/>
        <w:rPr>
          <w:sz w:val="18"/>
        </w:rPr>
      </w:pPr>
      <w:r>
        <w:rPr>
          <w:color w:val="231F20"/>
          <w:sz w:val="18"/>
        </w:rPr>
        <w:t>Koçel, T. (2015). İşletme yöneticiliği (16.bs.). İstanbul: Beta Yayınları.</w:t>
      </w:r>
    </w:p>
    <w:p>
      <w:pPr>
        <w:spacing w:line="254" w:lineRule="auto" w:before="69"/>
        <w:ind w:left="819" w:right="249" w:hanging="567"/>
        <w:jc w:val="both"/>
        <w:rPr>
          <w:sz w:val="18"/>
        </w:rPr>
      </w:pPr>
      <w:r>
        <w:rPr>
          <w:color w:val="231F20"/>
          <w:sz w:val="18"/>
        </w:rPr>
        <w:t>Kostrad,</w:t>
      </w:r>
      <w:r>
        <w:rPr>
          <w:color w:val="231F20"/>
          <w:spacing w:val="-15"/>
          <w:sz w:val="18"/>
        </w:rPr>
        <w:t> </w:t>
      </w:r>
      <w:r>
        <w:rPr>
          <w:color w:val="231F20"/>
          <w:sz w:val="18"/>
        </w:rPr>
        <w:t>D.</w:t>
      </w:r>
      <w:r>
        <w:rPr>
          <w:color w:val="231F20"/>
          <w:spacing w:val="-15"/>
          <w:sz w:val="18"/>
        </w:rPr>
        <w:t> </w:t>
      </w:r>
      <w:r>
        <w:rPr>
          <w:color w:val="231F20"/>
          <w:sz w:val="18"/>
        </w:rPr>
        <w:t>A.</w:t>
      </w:r>
      <w:r>
        <w:rPr>
          <w:color w:val="231F20"/>
          <w:spacing w:val="-15"/>
          <w:sz w:val="18"/>
        </w:rPr>
        <w:t> </w:t>
      </w:r>
      <w:r>
        <w:rPr>
          <w:color w:val="231F20"/>
          <w:sz w:val="18"/>
        </w:rPr>
        <w:t>(2019).</w:t>
      </w:r>
      <w:r>
        <w:rPr>
          <w:color w:val="231F20"/>
          <w:spacing w:val="-14"/>
          <w:sz w:val="18"/>
        </w:rPr>
        <w:t> </w:t>
      </w:r>
      <w:r>
        <w:rPr>
          <w:color w:val="231F20"/>
          <w:sz w:val="18"/>
        </w:rPr>
        <w:t>The</w:t>
      </w:r>
      <w:r>
        <w:rPr>
          <w:color w:val="231F20"/>
          <w:spacing w:val="-15"/>
          <w:sz w:val="18"/>
        </w:rPr>
        <w:t> </w:t>
      </w:r>
      <w:r>
        <w:rPr>
          <w:color w:val="231F20"/>
          <w:sz w:val="18"/>
        </w:rPr>
        <w:t>role</w:t>
      </w:r>
      <w:r>
        <w:rPr>
          <w:color w:val="231F20"/>
          <w:spacing w:val="-15"/>
          <w:sz w:val="18"/>
        </w:rPr>
        <w:t> </w:t>
      </w:r>
      <w:r>
        <w:rPr>
          <w:color w:val="231F20"/>
          <w:sz w:val="18"/>
        </w:rPr>
        <w:t>of</w:t>
      </w:r>
      <w:r>
        <w:rPr>
          <w:color w:val="231F20"/>
          <w:spacing w:val="-15"/>
          <w:sz w:val="18"/>
        </w:rPr>
        <w:t> </w:t>
      </w:r>
      <w:r>
        <w:rPr>
          <w:color w:val="231F20"/>
          <w:sz w:val="18"/>
        </w:rPr>
        <w:t>leadership</w:t>
      </w:r>
      <w:r>
        <w:rPr>
          <w:color w:val="231F20"/>
          <w:spacing w:val="-14"/>
          <w:sz w:val="18"/>
        </w:rPr>
        <w:t> </w:t>
      </w:r>
      <w:r>
        <w:rPr>
          <w:color w:val="231F20"/>
          <w:sz w:val="18"/>
        </w:rPr>
        <w:t>agility</w:t>
      </w:r>
      <w:r>
        <w:rPr>
          <w:color w:val="231F20"/>
          <w:spacing w:val="-15"/>
          <w:sz w:val="18"/>
        </w:rPr>
        <w:t> </w:t>
      </w:r>
      <w:r>
        <w:rPr>
          <w:color w:val="231F20"/>
          <w:sz w:val="18"/>
        </w:rPr>
        <w:t>and</w:t>
      </w:r>
      <w:r>
        <w:rPr>
          <w:color w:val="231F20"/>
          <w:spacing w:val="-15"/>
          <w:sz w:val="18"/>
        </w:rPr>
        <w:t> </w:t>
      </w:r>
      <w:r>
        <w:rPr>
          <w:color w:val="231F20"/>
          <w:sz w:val="18"/>
        </w:rPr>
        <w:t>organızational</w:t>
      </w:r>
      <w:r>
        <w:rPr>
          <w:color w:val="231F20"/>
          <w:spacing w:val="-14"/>
          <w:sz w:val="18"/>
        </w:rPr>
        <w:t> </w:t>
      </w:r>
      <w:r>
        <w:rPr>
          <w:color w:val="231F20"/>
          <w:sz w:val="18"/>
        </w:rPr>
        <w:t>commitment</w:t>
      </w:r>
      <w:r>
        <w:rPr>
          <w:color w:val="231F20"/>
          <w:spacing w:val="-15"/>
          <w:sz w:val="18"/>
        </w:rPr>
        <w:t> </w:t>
      </w:r>
      <w:r>
        <w:rPr>
          <w:color w:val="231F20"/>
          <w:sz w:val="18"/>
        </w:rPr>
        <w:t>toward</w:t>
      </w:r>
      <w:r>
        <w:rPr>
          <w:color w:val="231F20"/>
          <w:spacing w:val="-15"/>
          <w:sz w:val="18"/>
        </w:rPr>
        <w:t> </w:t>
      </w:r>
      <w:r>
        <w:rPr>
          <w:color w:val="231F20"/>
          <w:sz w:val="18"/>
        </w:rPr>
        <w:t>organizational readiness for changes in public Islamıc universities of central java in conditions of VUCA      era. Russian Journal of Agricultural and Socio-Economic Sciences, 7(91), 206-211. https:// doi:10.18551/rjoas.2019-07.23.</w:t>
      </w:r>
    </w:p>
    <w:p>
      <w:pPr>
        <w:spacing w:line="254" w:lineRule="auto" w:before="59"/>
        <w:ind w:left="819" w:right="250" w:hanging="567"/>
        <w:jc w:val="both"/>
        <w:rPr>
          <w:sz w:val="18"/>
        </w:rPr>
      </w:pPr>
      <w:r>
        <w:rPr>
          <w:color w:val="231F20"/>
          <w:sz w:val="18"/>
        </w:rPr>
        <w:t>Lawrence, K. (2013). Developing leaders in a VUCA environment. UNC Executive Development, pp.1- 15.</w:t>
      </w:r>
    </w:p>
    <w:p>
      <w:pPr>
        <w:spacing w:after="0" w:line="254" w:lineRule="auto"/>
        <w:jc w:val="both"/>
        <w:rPr>
          <w:sz w:val="18"/>
        </w:rPr>
        <w:sectPr>
          <w:pgSz w:w="9530" w:h="13610"/>
          <w:pgMar w:header="860" w:footer="344" w:top="1060" w:bottom="540" w:left="740" w:right="740"/>
        </w:sectPr>
      </w:pPr>
    </w:p>
    <w:p>
      <w:pPr>
        <w:pStyle w:val="BodyText"/>
      </w:pPr>
    </w:p>
    <w:p>
      <w:pPr>
        <w:pStyle w:val="BodyText"/>
        <w:spacing w:before="5"/>
      </w:pPr>
    </w:p>
    <w:p>
      <w:pPr>
        <w:spacing w:line="254" w:lineRule="auto" w:before="0"/>
        <w:ind w:left="819" w:right="29" w:hanging="567"/>
        <w:jc w:val="left"/>
        <w:rPr>
          <w:sz w:val="18"/>
        </w:rPr>
      </w:pPr>
      <w:r>
        <w:rPr>
          <w:color w:val="231F20"/>
          <w:sz w:val="18"/>
        </w:rPr>
        <w:t>Mack, O. &amp; Khare, A. (2016). Perspectives on a VUCA world. In O. Mack, A. Khare, A. Krämer &amp; T. Burgartz (Eds.). Managing in a VUCA world (pp.3-19). Springer.</w:t>
      </w:r>
    </w:p>
    <w:p>
      <w:pPr>
        <w:spacing w:line="254" w:lineRule="auto" w:before="58"/>
        <w:ind w:left="819" w:right="29" w:hanging="567"/>
        <w:jc w:val="left"/>
        <w:rPr>
          <w:sz w:val="18"/>
        </w:rPr>
      </w:pPr>
      <w:r>
        <w:rPr>
          <w:color w:val="231F20"/>
          <w:sz w:val="18"/>
        </w:rPr>
        <w:t>McKenzie,</w:t>
      </w:r>
      <w:r>
        <w:rPr>
          <w:color w:val="231F20"/>
          <w:spacing w:val="-20"/>
          <w:sz w:val="18"/>
        </w:rPr>
        <w:t> </w:t>
      </w:r>
      <w:r>
        <w:rPr>
          <w:color w:val="231F20"/>
          <w:sz w:val="18"/>
        </w:rPr>
        <w:t>J.</w:t>
      </w:r>
      <w:r>
        <w:rPr>
          <w:color w:val="231F20"/>
          <w:spacing w:val="-20"/>
          <w:sz w:val="18"/>
        </w:rPr>
        <w:t> </w:t>
      </w:r>
      <w:r>
        <w:rPr>
          <w:color w:val="231F20"/>
          <w:sz w:val="18"/>
        </w:rPr>
        <w:t>&amp;</w:t>
      </w:r>
      <w:r>
        <w:rPr>
          <w:color w:val="231F20"/>
          <w:spacing w:val="-20"/>
          <w:sz w:val="18"/>
        </w:rPr>
        <w:t> </w:t>
      </w:r>
      <w:r>
        <w:rPr>
          <w:color w:val="231F20"/>
          <w:sz w:val="18"/>
        </w:rPr>
        <w:t>Aitken,</w:t>
      </w:r>
      <w:r>
        <w:rPr>
          <w:color w:val="231F20"/>
          <w:spacing w:val="-19"/>
          <w:sz w:val="18"/>
        </w:rPr>
        <w:t> </w:t>
      </w:r>
      <w:r>
        <w:rPr>
          <w:color w:val="231F20"/>
          <w:sz w:val="18"/>
        </w:rPr>
        <w:t>P.</w:t>
      </w:r>
      <w:r>
        <w:rPr>
          <w:color w:val="231F20"/>
          <w:spacing w:val="-20"/>
          <w:sz w:val="18"/>
        </w:rPr>
        <w:t> </w:t>
      </w:r>
      <w:r>
        <w:rPr>
          <w:color w:val="231F20"/>
          <w:sz w:val="18"/>
        </w:rPr>
        <w:t>(2012).</w:t>
      </w:r>
      <w:r>
        <w:rPr>
          <w:color w:val="231F20"/>
          <w:spacing w:val="-20"/>
          <w:sz w:val="18"/>
        </w:rPr>
        <w:t> </w:t>
      </w:r>
      <w:r>
        <w:rPr>
          <w:color w:val="231F20"/>
          <w:sz w:val="18"/>
        </w:rPr>
        <w:t>Learning</w:t>
      </w:r>
      <w:r>
        <w:rPr>
          <w:color w:val="231F20"/>
          <w:spacing w:val="-20"/>
          <w:sz w:val="18"/>
        </w:rPr>
        <w:t> </w:t>
      </w:r>
      <w:r>
        <w:rPr>
          <w:color w:val="231F20"/>
          <w:sz w:val="18"/>
        </w:rPr>
        <w:t>to</w:t>
      </w:r>
      <w:r>
        <w:rPr>
          <w:color w:val="231F20"/>
          <w:spacing w:val="-19"/>
          <w:sz w:val="18"/>
        </w:rPr>
        <w:t> </w:t>
      </w:r>
      <w:r>
        <w:rPr>
          <w:color w:val="231F20"/>
          <w:sz w:val="18"/>
        </w:rPr>
        <w:t>lead</w:t>
      </w:r>
      <w:r>
        <w:rPr>
          <w:color w:val="231F20"/>
          <w:spacing w:val="-20"/>
          <w:sz w:val="18"/>
        </w:rPr>
        <w:t> </w:t>
      </w:r>
      <w:r>
        <w:rPr>
          <w:color w:val="231F20"/>
          <w:sz w:val="18"/>
        </w:rPr>
        <w:t>the</w:t>
      </w:r>
      <w:r>
        <w:rPr>
          <w:color w:val="231F20"/>
          <w:spacing w:val="-20"/>
          <w:sz w:val="18"/>
        </w:rPr>
        <w:t> </w:t>
      </w:r>
      <w:r>
        <w:rPr>
          <w:color w:val="231F20"/>
          <w:sz w:val="18"/>
        </w:rPr>
        <w:t>knowledgeable</w:t>
      </w:r>
      <w:r>
        <w:rPr>
          <w:color w:val="231F20"/>
          <w:spacing w:val="-20"/>
          <w:sz w:val="18"/>
        </w:rPr>
        <w:t> </w:t>
      </w:r>
      <w:r>
        <w:rPr>
          <w:color w:val="231F20"/>
          <w:sz w:val="18"/>
        </w:rPr>
        <w:t>organization:</w:t>
      </w:r>
      <w:r>
        <w:rPr>
          <w:color w:val="231F20"/>
          <w:spacing w:val="-19"/>
          <w:sz w:val="18"/>
        </w:rPr>
        <w:t> </w:t>
      </w:r>
      <w:r>
        <w:rPr>
          <w:color w:val="231F20"/>
          <w:sz w:val="18"/>
        </w:rPr>
        <w:t>Developing</w:t>
      </w:r>
      <w:r>
        <w:rPr>
          <w:color w:val="231F20"/>
          <w:spacing w:val="-20"/>
          <w:sz w:val="18"/>
        </w:rPr>
        <w:t> </w:t>
      </w:r>
      <w:r>
        <w:rPr>
          <w:color w:val="231F20"/>
          <w:sz w:val="18"/>
        </w:rPr>
        <w:t>leadership agility. Strategic HR Review, 11(6), 329-334.</w:t>
      </w:r>
      <w:r>
        <w:rPr>
          <w:color w:val="231F20"/>
          <w:spacing w:val="-5"/>
          <w:sz w:val="18"/>
        </w:rPr>
        <w:t> </w:t>
      </w:r>
      <w:r>
        <w:rPr>
          <w:color w:val="231F20"/>
          <w:sz w:val="18"/>
        </w:rPr>
        <w:t>https://doi:10.1108/14754391211264794.</w:t>
      </w:r>
    </w:p>
    <w:p>
      <w:pPr>
        <w:spacing w:line="254" w:lineRule="auto" w:before="58"/>
        <w:ind w:left="819" w:right="29" w:hanging="567"/>
        <w:jc w:val="left"/>
        <w:rPr>
          <w:sz w:val="18"/>
        </w:rPr>
      </w:pPr>
      <w:r>
        <w:rPr>
          <w:color w:val="231F20"/>
          <w:sz w:val="18"/>
        </w:rPr>
        <w:t>Mergel, I.M. (2016). Agile innovation management in government: A research agenda. Erschienen in: Government Information Quarterly, 33, 516-523. </w:t>
      </w:r>
      <w:hyperlink r:id="rId50">
        <w:r>
          <w:rPr>
            <w:color w:val="231F20"/>
            <w:sz w:val="18"/>
          </w:rPr>
          <w:t>https://dx.doi.org/10.1016/j.giq.2016.07.004</w:t>
        </w:r>
      </w:hyperlink>
      <w:r>
        <w:rPr>
          <w:color w:val="231F20"/>
          <w:sz w:val="18"/>
        </w:rPr>
        <w:t>.</w:t>
      </w:r>
    </w:p>
    <w:p>
      <w:pPr>
        <w:spacing w:line="254" w:lineRule="auto" w:before="58"/>
        <w:ind w:left="818" w:right="323" w:hanging="567"/>
        <w:jc w:val="left"/>
        <w:rPr>
          <w:sz w:val="18"/>
        </w:rPr>
      </w:pPr>
      <w:r>
        <w:rPr>
          <w:color w:val="231F20"/>
          <w:sz w:val="18"/>
        </w:rPr>
        <w:t>Meydan, C.H. &amp; Şeşen, H. (2015). Yapısal eşitlik modellemesi AMOS uygulamaları (2.bs.). Ankara: Detay Yayıncılık.</w:t>
      </w:r>
    </w:p>
    <w:p>
      <w:pPr>
        <w:spacing w:before="57"/>
        <w:ind w:left="251" w:right="0" w:firstLine="0"/>
        <w:jc w:val="left"/>
        <w:rPr>
          <w:sz w:val="18"/>
        </w:rPr>
      </w:pPr>
      <w:r>
        <w:rPr>
          <w:color w:val="231F20"/>
          <w:sz w:val="18"/>
        </w:rPr>
        <w:t>Morgan, J. (2020). The future leader. Hoboken, New Jersey: John Wiley &amp; Sons, Inc.</w:t>
      </w:r>
    </w:p>
    <w:p>
      <w:pPr>
        <w:spacing w:before="70"/>
        <w:ind w:left="251" w:right="0" w:firstLine="0"/>
        <w:jc w:val="left"/>
        <w:rPr>
          <w:sz w:val="18"/>
        </w:rPr>
      </w:pPr>
      <w:r>
        <w:rPr>
          <w:color w:val="231F20"/>
          <w:sz w:val="18"/>
        </w:rPr>
        <w:t>Narayan, S. (2021, February). Agile leadership in a complex world. Railway Gazette International.</w:t>
      </w:r>
    </w:p>
    <w:p>
      <w:pPr>
        <w:spacing w:line="254" w:lineRule="auto" w:before="70"/>
        <w:ind w:left="818" w:right="251" w:hanging="567"/>
        <w:jc w:val="both"/>
        <w:rPr>
          <w:sz w:val="18"/>
        </w:rPr>
      </w:pPr>
      <w:r>
        <w:rPr>
          <w:color w:val="231F20"/>
          <w:sz w:val="18"/>
        </w:rPr>
        <w:t>Özdemir,</w:t>
      </w:r>
      <w:r>
        <w:rPr>
          <w:color w:val="231F20"/>
          <w:spacing w:val="-14"/>
          <w:sz w:val="18"/>
        </w:rPr>
        <w:t> </w:t>
      </w:r>
      <w:r>
        <w:rPr>
          <w:color w:val="231F20"/>
          <w:sz w:val="18"/>
        </w:rPr>
        <w:t>N.</w:t>
      </w:r>
      <w:r>
        <w:rPr>
          <w:color w:val="231F20"/>
          <w:spacing w:val="-14"/>
          <w:sz w:val="18"/>
        </w:rPr>
        <w:t> </w:t>
      </w:r>
      <w:r>
        <w:rPr>
          <w:color w:val="231F20"/>
          <w:sz w:val="18"/>
        </w:rPr>
        <w:t>&amp;</w:t>
      </w:r>
      <w:r>
        <w:rPr>
          <w:color w:val="231F20"/>
          <w:spacing w:val="-13"/>
          <w:sz w:val="18"/>
        </w:rPr>
        <w:t> </w:t>
      </w:r>
      <w:r>
        <w:rPr>
          <w:color w:val="231F20"/>
          <w:sz w:val="18"/>
        </w:rPr>
        <w:t>Çetin,</w:t>
      </w:r>
      <w:r>
        <w:rPr>
          <w:color w:val="231F20"/>
          <w:spacing w:val="-14"/>
          <w:sz w:val="18"/>
        </w:rPr>
        <w:t> </w:t>
      </w:r>
      <w:r>
        <w:rPr>
          <w:color w:val="231F20"/>
          <w:sz w:val="18"/>
        </w:rPr>
        <w:t>M.</w:t>
      </w:r>
      <w:r>
        <w:rPr>
          <w:color w:val="231F20"/>
          <w:spacing w:val="-14"/>
          <w:sz w:val="18"/>
        </w:rPr>
        <w:t> </w:t>
      </w:r>
      <w:r>
        <w:rPr>
          <w:color w:val="231F20"/>
          <w:sz w:val="18"/>
        </w:rPr>
        <w:t>(2019).</w:t>
      </w:r>
      <w:r>
        <w:rPr>
          <w:color w:val="231F20"/>
          <w:spacing w:val="-13"/>
          <w:sz w:val="18"/>
        </w:rPr>
        <w:t> </w:t>
      </w:r>
      <w:r>
        <w:rPr>
          <w:color w:val="231F20"/>
          <w:sz w:val="18"/>
        </w:rPr>
        <w:t>Çevik</w:t>
      </w:r>
      <w:r>
        <w:rPr>
          <w:color w:val="231F20"/>
          <w:spacing w:val="-14"/>
          <w:sz w:val="18"/>
        </w:rPr>
        <w:t> </w:t>
      </w:r>
      <w:r>
        <w:rPr>
          <w:color w:val="231F20"/>
          <w:sz w:val="18"/>
        </w:rPr>
        <w:t>liderlik</w:t>
      </w:r>
      <w:r>
        <w:rPr>
          <w:color w:val="231F20"/>
          <w:spacing w:val="-14"/>
          <w:sz w:val="18"/>
        </w:rPr>
        <w:t> </w:t>
      </w:r>
      <w:r>
        <w:rPr>
          <w:color w:val="231F20"/>
          <w:sz w:val="18"/>
        </w:rPr>
        <w:t>ölçeğinin</w:t>
      </w:r>
      <w:r>
        <w:rPr>
          <w:color w:val="231F20"/>
          <w:spacing w:val="-13"/>
          <w:sz w:val="18"/>
        </w:rPr>
        <w:t> </w:t>
      </w:r>
      <w:r>
        <w:rPr>
          <w:color w:val="231F20"/>
          <w:sz w:val="18"/>
        </w:rPr>
        <w:t>geliştirilmesine</w:t>
      </w:r>
      <w:r>
        <w:rPr>
          <w:color w:val="231F20"/>
          <w:spacing w:val="-14"/>
          <w:sz w:val="18"/>
        </w:rPr>
        <w:t> </w:t>
      </w:r>
      <w:r>
        <w:rPr>
          <w:color w:val="231F20"/>
          <w:sz w:val="18"/>
        </w:rPr>
        <w:t>yönelik</w:t>
      </w:r>
      <w:r>
        <w:rPr>
          <w:color w:val="231F20"/>
          <w:spacing w:val="-14"/>
          <w:sz w:val="18"/>
        </w:rPr>
        <w:t> </w:t>
      </w:r>
      <w:r>
        <w:rPr>
          <w:color w:val="231F20"/>
          <w:sz w:val="18"/>
        </w:rPr>
        <w:t>güvenilirlik</w:t>
      </w:r>
      <w:r>
        <w:rPr>
          <w:color w:val="231F20"/>
          <w:spacing w:val="-13"/>
          <w:sz w:val="18"/>
        </w:rPr>
        <w:t> </w:t>
      </w:r>
      <w:r>
        <w:rPr>
          <w:color w:val="231F20"/>
          <w:sz w:val="18"/>
        </w:rPr>
        <w:t>ve</w:t>
      </w:r>
      <w:r>
        <w:rPr>
          <w:color w:val="231F20"/>
          <w:spacing w:val="-14"/>
          <w:sz w:val="18"/>
        </w:rPr>
        <w:t> </w:t>
      </w:r>
      <w:r>
        <w:rPr>
          <w:color w:val="231F20"/>
          <w:sz w:val="18"/>
        </w:rPr>
        <w:t>geçerlilik çalışması: Eğitim örgütleri üzerine bir uygulama. 2(7), 312-332.</w:t>
      </w:r>
    </w:p>
    <w:p>
      <w:pPr>
        <w:spacing w:line="254" w:lineRule="auto" w:before="58"/>
        <w:ind w:left="818" w:right="250" w:hanging="567"/>
        <w:jc w:val="both"/>
        <w:rPr>
          <w:sz w:val="18"/>
        </w:rPr>
      </w:pPr>
      <w:r>
        <w:rPr>
          <w:color w:val="231F20"/>
          <w:sz w:val="18"/>
        </w:rPr>
        <w:t>Özdemir,</w:t>
      </w:r>
      <w:r>
        <w:rPr>
          <w:color w:val="231F20"/>
          <w:spacing w:val="-7"/>
          <w:sz w:val="18"/>
        </w:rPr>
        <w:t> </w:t>
      </w:r>
      <w:r>
        <w:rPr>
          <w:color w:val="231F20"/>
          <w:sz w:val="18"/>
        </w:rPr>
        <w:t>A.N.</w:t>
      </w:r>
      <w:r>
        <w:rPr>
          <w:color w:val="231F20"/>
          <w:spacing w:val="-5"/>
          <w:sz w:val="18"/>
        </w:rPr>
        <w:t> </w:t>
      </w:r>
      <w:r>
        <w:rPr>
          <w:color w:val="231F20"/>
          <w:sz w:val="18"/>
        </w:rPr>
        <w:t>(2020).</w:t>
      </w:r>
      <w:r>
        <w:rPr>
          <w:color w:val="231F20"/>
          <w:spacing w:val="-5"/>
          <w:sz w:val="18"/>
        </w:rPr>
        <w:t> </w:t>
      </w:r>
      <w:r>
        <w:rPr>
          <w:color w:val="231F20"/>
          <w:sz w:val="18"/>
        </w:rPr>
        <w:t>Okul</w:t>
      </w:r>
      <w:r>
        <w:rPr>
          <w:color w:val="231F20"/>
          <w:spacing w:val="-5"/>
          <w:sz w:val="18"/>
        </w:rPr>
        <w:t> </w:t>
      </w:r>
      <w:r>
        <w:rPr>
          <w:color w:val="231F20"/>
          <w:sz w:val="18"/>
        </w:rPr>
        <w:t>yöneticilerinin</w:t>
      </w:r>
      <w:r>
        <w:rPr>
          <w:color w:val="231F20"/>
          <w:spacing w:val="-6"/>
          <w:sz w:val="18"/>
        </w:rPr>
        <w:t> </w:t>
      </w:r>
      <w:r>
        <w:rPr>
          <w:color w:val="231F20"/>
          <w:sz w:val="18"/>
        </w:rPr>
        <w:t>çevik</w:t>
      </w:r>
      <w:r>
        <w:rPr>
          <w:color w:val="231F20"/>
          <w:spacing w:val="-5"/>
          <w:sz w:val="18"/>
        </w:rPr>
        <w:t> </w:t>
      </w:r>
      <w:r>
        <w:rPr>
          <w:color w:val="231F20"/>
          <w:sz w:val="18"/>
        </w:rPr>
        <w:t>liderlik</w:t>
      </w:r>
      <w:r>
        <w:rPr>
          <w:color w:val="231F20"/>
          <w:spacing w:val="-5"/>
          <w:sz w:val="18"/>
        </w:rPr>
        <w:t> </w:t>
      </w:r>
      <w:r>
        <w:rPr>
          <w:color w:val="231F20"/>
          <w:sz w:val="18"/>
        </w:rPr>
        <w:t>özelliklerinin</w:t>
      </w:r>
      <w:r>
        <w:rPr>
          <w:color w:val="231F20"/>
          <w:spacing w:val="-6"/>
          <w:sz w:val="18"/>
        </w:rPr>
        <w:t> </w:t>
      </w:r>
      <w:r>
        <w:rPr>
          <w:color w:val="231F20"/>
          <w:sz w:val="18"/>
        </w:rPr>
        <w:t>örgütsel</w:t>
      </w:r>
      <w:r>
        <w:rPr>
          <w:color w:val="231F20"/>
          <w:spacing w:val="-6"/>
          <w:sz w:val="18"/>
        </w:rPr>
        <w:t> </w:t>
      </w:r>
      <w:r>
        <w:rPr>
          <w:color w:val="231F20"/>
          <w:sz w:val="18"/>
        </w:rPr>
        <w:t>bağlılığa</w:t>
      </w:r>
      <w:r>
        <w:rPr>
          <w:color w:val="231F20"/>
          <w:spacing w:val="-6"/>
          <w:sz w:val="18"/>
        </w:rPr>
        <w:t> </w:t>
      </w:r>
      <w:r>
        <w:rPr>
          <w:color w:val="231F20"/>
          <w:sz w:val="18"/>
        </w:rPr>
        <w:t>etkisi:</w:t>
      </w:r>
      <w:r>
        <w:rPr>
          <w:color w:val="231F20"/>
          <w:spacing w:val="-5"/>
          <w:sz w:val="18"/>
        </w:rPr>
        <w:t> </w:t>
      </w:r>
      <w:r>
        <w:rPr>
          <w:color w:val="231F20"/>
          <w:sz w:val="18"/>
        </w:rPr>
        <w:t>İngiltere ve Türkiye okullarında karşılaştırmalı bir analiz (Doktora tezi). Marmara Üniversitesi, Eğitim Bilimleri Enstitüsü.</w:t>
      </w:r>
    </w:p>
    <w:p>
      <w:pPr>
        <w:spacing w:line="254" w:lineRule="auto" w:before="58"/>
        <w:ind w:left="818" w:right="252" w:hanging="567"/>
        <w:jc w:val="both"/>
        <w:rPr>
          <w:sz w:val="18"/>
        </w:rPr>
      </w:pPr>
      <w:r>
        <w:rPr>
          <w:color w:val="231F20"/>
          <w:sz w:val="18"/>
        </w:rPr>
        <w:t>Özen,</w:t>
      </w:r>
      <w:r>
        <w:rPr>
          <w:color w:val="231F20"/>
          <w:spacing w:val="-13"/>
          <w:sz w:val="18"/>
        </w:rPr>
        <w:t> </w:t>
      </w:r>
      <w:r>
        <w:rPr>
          <w:color w:val="231F20"/>
          <w:sz w:val="18"/>
        </w:rPr>
        <w:t>M.T.</w:t>
      </w:r>
      <w:r>
        <w:rPr>
          <w:color w:val="231F20"/>
          <w:spacing w:val="-12"/>
          <w:sz w:val="18"/>
        </w:rPr>
        <w:t> </w:t>
      </w:r>
      <w:r>
        <w:rPr>
          <w:color w:val="231F20"/>
          <w:sz w:val="18"/>
        </w:rPr>
        <w:t>&amp;</w:t>
      </w:r>
      <w:r>
        <w:rPr>
          <w:color w:val="231F20"/>
          <w:spacing w:val="-12"/>
          <w:sz w:val="18"/>
        </w:rPr>
        <w:t> </w:t>
      </w:r>
      <w:r>
        <w:rPr>
          <w:color w:val="231F20"/>
          <w:sz w:val="18"/>
        </w:rPr>
        <w:t>Koç,</w:t>
      </w:r>
      <w:r>
        <w:rPr>
          <w:color w:val="231F20"/>
          <w:spacing w:val="-12"/>
          <w:sz w:val="18"/>
        </w:rPr>
        <w:t> </w:t>
      </w:r>
      <w:r>
        <w:rPr>
          <w:color w:val="231F20"/>
          <w:sz w:val="18"/>
        </w:rPr>
        <w:t>M.</w:t>
      </w:r>
      <w:r>
        <w:rPr>
          <w:color w:val="231F20"/>
          <w:spacing w:val="-12"/>
          <w:sz w:val="18"/>
        </w:rPr>
        <w:t> </w:t>
      </w:r>
      <w:r>
        <w:rPr>
          <w:color w:val="231F20"/>
          <w:sz w:val="18"/>
        </w:rPr>
        <w:t>(2021).</w:t>
      </w:r>
      <w:r>
        <w:rPr>
          <w:color w:val="231F20"/>
          <w:spacing w:val="-12"/>
          <w:sz w:val="18"/>
        </w:rPr>
        <w:t> </w:t>
      </w:r>
      <w:r>
        <w:rPr>
          <w:color w:val="231F20"/>
          <w:sz w:val="18"/>
        </w:rPr>
        <w:t>Çevik</w:t>
      </w:r>
      <w:r>
        <w:rPr>
          <w:color w:val="231F20"/>
          <w:spacing w:val="-12"/>
          <w:sz w:val="18"/>
        </w:rPr>
        <w:t> </w:t>
      </w:r>
      <w:r>
        <w:rPr>
          <w:color w:val="231F20"/>
          <w:sz w:val="18"/>
        </w:rPr>
        <w:t>Yönetime</w:t>
      </w:r>
      <w:r>
        <w:rPr>
          <w:color w:val="231F20"/>
          <w:spacing w:val="-12"/>
          <w:sz w:val="18"/>
        </w:rPr>
        <w:t> </w:t>
      </w:r>
      <w:r>
        <w:rPr>
          <w:color w:val="231F20"/>
          <w:sz w:val="18"/>
        </w:rPr>
        <w:t>dair</w:t>
      </w:r>
      <w:r>
        <w:rPr>
          <w:color w:val="231F20"/>
          <w:spacing w:val="-12"/>
          <w:sz w:val="18"/>
        </w:rPr>
        <w:t> </w:t>
      </w:r>
      <w:r>
        <w:rPr>
          <w:color w:val="231F20"/>
          <w:sz w:val="18"/>
        </w:rPr>
        <w:t>bazı</w:t>
      </w:r>
      <w:r>
        <w:rPr>
          <w:color w:val="231F20"/>
          <w:spacing w:val="-12"/>
          <w:sz w:val="18"/>
        </w:rPr>
        <w:t> </w:t>
      </w:r>
      <w:r>
        <w:rPr>
          <w:color w:val="231F20"/>
          <w:sz w:val="18"/>
        </w:rPr>
        <w:t>tespitler:</w:t>
      </w:r>
      <w:r>
        <w:rPr>
          <w:color w:val="231F20"/>
          <w:spacing w:val="-12"/>
          <w:sz w:val="18"/>
        </w:rPr>
        <w:t> </w:t>
      </w:r>
      <w:r>
        <w:rPr>
          <w:color w:val="231F20"/>
          <w:sz w:val="18"/>
        </w:rPr>
        <w:t>Yazılım</w:t>
      </w:r>
      <w:r>
        <w:rPr>
          <w:color w:val="231F20"/>
          <w:spacing w:val="-12"/>
          <w:sz w:val="18"/>
        </w:rPr>
        <w:t> </w:t>
      </w:r>
      <w:r>
        <w:rPr>
          <w:color w:val="231F20"/>
          <w:sz w:val="18"/>
        </w:rPr>
        <w:t>sektöründe</w:t>
      </w:r>
      <w:r>
        <w:rPr>
          <w:color w:val="231F20"/>
          <w:spacing w:val="-12"/>
          <w:sz w:val="18"/>
        </w:rPr>
        <w:t> </w:t>
      </w:r>
      <w:r>
        <w:rPr>
          <w:color w:val="231F20"/>
          <w:sz w:val="18"/>
        </w:rPr>
        <w:t>hazırlanan</w:t>
      </w:r>
      <w:r>
        <w:rPr>
          <w:color w:val="231F20"/>
          <w:spacing w:val="-12"/>
          <w:sz w:val="18"/>
        </w:rPr>
        <w:t> </w:t>
      </w:r>
      <w:r>
        <w:rPr>
          <w:color w:val="231F20"/>
          <w:sz w:val="18"/>
        </w:rPr>
        <w:t>raporlar kapsamında dönemsel bir analiz. Uluslararası Yönetim Akademisi Dergisi, 4(2),</w:t>
      </w:r>
      <w:r>
        <w:rPr>
          <w:color w:val="231F20"/>
          <w:spacing w:val="-18"/>
          <w:sz w:val="18"/>
        </w:rPr>
        <w:t> </w:t>
      </w:r>
      <w:r>
        <w:rPr>
          <w:color w:val="231F20"/>
          <w:sz w:val="18"/>
        </w:rPr>
        <w:t>385-408.</w:t>
      </w:r>
    </w:p>
    <w:p>
      <w:pPr>
        <w:spacing w:line="254" w:lineRule="auto" w:before="58"/>
        <w:ind w:left="818" w:right="252" w:hanging="567"/>
        <w:jc w:val="both"/>
        <w:rPr>
          <w:sz w:val="18"/>
        </w:rPr>
      </w:pPr>
      <w:r>
        <w:rPr>
          <w:color w:val="231F20"/>
          <w:sz w:val="18"/>
        </w:rPr>
        <w:t>Parker, D. W., Holesgrove, M. &amp; Pathak, R. (2015). Improving productivity with self-organised teams and agile leadership. International Journal of Productivity and Performance Management, 64(1), 112-128.</w:t>
      </w:r>
    </w:p>
    <w:p>
      <w:pPr>
        <w:spacing w:line="254" w:lineRule="auto" w:before="58"/>
        <w:ind w:left="818" w:right="252" w:hanging="567"/>
        <w:jc w:val="both"/>
        <w:rPr>
          <w:sz w:val="18"/>
        </w:rPr>
      </w:pPr>
      <w:r>
        <w:rPr>
          <w:color w:val="231F20"/>
          <w:sz w:val="18"/>
        </w:rPr>
        <w:t>Petry, T. (2018). Digital leadership. In K. North, R. Maier &amp; O. Haas (Eds.). Knowledge management in digital change (pp.209-218). Springer. https://doi:10.1007/978-3-319-73546-7_12.</w:t>
      </w:r>
    </w:p>
    <w:p>
      <w:pPr>
        <w:spacing w:line="254" w:lineRule="auto" w:before="58"/>
        <w:ind w:left="819" w:right="249" w:hanging="567"/>
        <w:jc w:val="both"/>
        <w:rPr>
          <w:sz w:val="18"/>
        </w:rPr>
      </w:pPr>
      <w:r>
        <w:rPr>
          <w:color w:val="231F20"/>
          <w:sz w:val="18"/>
        </w:rPr>
        <w:t>Petzer,</w:t>
      </w:r>
      <w:r>
        <w:rPr>
          <w:color w:val="231F20"/>
          <w:spacing w:val="-10"/>
          <w:sz w:val="18"/>
        </w:rPr>
        <w:t> </w:t>
      </w:r>
      <w:r>
        <w:rPr>
          <w:color w:val="231F20"/>
          <w:sz w:val="18"/>
        </w:rPr>
        <w:t>M.</w:t>
      </w:r>
      <w:r>
        <w:rPr>
          <w:color w:val="231F20"/>
          <w:spacing w:val="-9"/>
          <w:sz w:val="18"/>
        </w:rPr>
        <w:t> </w:t>
      </w:r>
      <w:r>
        <w:rPr>
          <w:color w:val="231F20"/>
          <w:sz w:val="18"/>
        </w:rPr>
        <w:t>(2020).</w:t>
      </w:r>
      <w:r>
        <w:rPr>
          <w:color w:val="231F20"/>
          <w:spacing w:val="-10"/>
          <w:sz w:val="18"/>
        </w:rPr>
        <w:t> </w:t>
      </w:r>
      <w:r>
        <w:rPr>
          <w:color w:val="231F20"/>
          <w:sz w:val="18"/>
        </w:rPr>
        <w:t>Coronavirus</w:t>
      </w:r>
      <w:r>
        <w:rPr>
          <w:color w:val="231F20"/>
          <w:spacing w:val="-9"/>
          <w:sz w:val="18"/>
        </w:rPr>
        <w:t> </w:t>
      </w:r>
      <w:r>
        <w:rPr>
          <w:color w:val="231F20"/>
          <w:sz w:val="18"/>
        </w:rPr>
        <w:t>and</w:t>
      </w:r>
      <w:r>
        <w:rPr>
          <w:color w:val="231F20"/>
          <w:spacing w:val="-10"/>
          <w:sz w:val="18"/>
        </w:rPr>
        <w:t> </w:t>
      </w:r>
      <w:r>
        <w:rPr>
          <w:color w:val="231F20"/>
          <w:sz w:val="18"/>
        </w:rPr>
        <w:t>the</w:t>
      </w:r>
      <w:r>
        <w:rPr>
          <w:color w:val="231F20"/>
          <w:spacing w:val="-9"/>
          <w:sz w:val="18"/>
        </w:rPr>
        <w:t> </w:t>
      </w:r>
      <w:r>
        <w:rPr>
          <w:color w:val="231F20"/>
          <w:sz w:val="18"/>
        </w:rPr>
        <w:t>workforce:</w:t>
      </w:r>
      <w:r>
        <w:rPr>
          <w:color w:val="231F20"/>
          <w:spacing w:val="-10"/>
          <w:sz w:val="18"/>
        </w:rPr>
        <w:t> </w:t>
      </w:r>
      <w:r>
        <w:rPr>
          <w:color w:val="231F20"/>
          <w:sz w:val="18"/>
        </w:rPr>
        <w:t>How</w:t>
      </w:r>
      <w:r>
        <w:rPr>
          <w:color w:val="231F20"/>
          <w:spacing w:val="-9"/>
          <w:sz w:val="18"/>
        </w:rPr>
        <w:t> </w:t>
      </w:r>
      <w:r>
        <w:rPr>
          <w:color w:val="231F20"/>
          <w:sz w:val="18"/>
        </w:rPr>
        <w:t>can</w:t>
      </w:r>
      <w:r>
        <w:rPr>
          <w:color w:val="231F20"/>
          <w:spacing w:val="-10"/>
          <w:sz w:val="18"/>
        </w:rPr>
        <w:t> </w:t>
      </w:r>
      <w:r>
        <w:rPr>
          <w:color w:val="231F20"/>
          <w:sz w:val="18"/>
        </w:rPr>
        <w:t>we</w:t>
      </w:r>
      <w:r>
        <w:rPr>
          <w:color w:val="231F20"/>
          <w:spacing w:val="-9"/>
          <w:sz w:val="18"/>
        </w:rPr>
        <w:t> </w:t>
      </w:r>
      <w:r>
        <w:rPr>
          <w:color w:val="231F20"/>
          <w:sz w:val="18"/>
        </w:rPr>
        <w:t>limit</w:t>
      </w:r>
      <w:r>
        <w:rPr>
          <w:color w:val="231F20"/>
          <w:spacing w:val="-10"/>
          <w:sz w:val="18"/>
        </w:rPr>
        <w:t> </w:t>
      </w:r>
      <w:r>
        <w:rPr>
          <w:color w:val="231F20"/>
          <w:sz w:val="18"/>
        </w:rPr>
        <w:t>redundancies?</w:t>
      </w:r>
      <w:r>
        <w:rPr>
          <w:color w:val="231F20"/>
          <w:spacing w:val="-8"/>
          <w:sz w:val="18"/>
        </w:rPr>
        <w:t> </w:t>
      </w:r>
      <w:hyperlink r:id="rId51">
        <w:r>
          <w:rPr>
            <w:color w:val="231F20"/>
            <w:sz w:val="18"/>
          </w:rPr>
          <w:t>http://researchonline.</w:t>
        </w:r>
      </w:hyperlink>
      <w:r>
        <w:rPr>
          <w:color w:val="231F20"/>
          <w:sz w:val="18"/>
        </w:rPr>
        <w:t> </w:t>
      </w:r>
      <w:hyperlink r:id="rId51">
        <w:r>
          <w:rPr>
            <w:color w:val="231F20"/>
            <w:spacing w:val="3"/>
            <w:sz w:val="18"/>
          </w:rPr>
          <w:t>ljmu.ac.uk/iFd/eprint/12960/1/coronavirus-workforceredundancies_20200402T170659.pdf</w:t>
        </w:r>
      </w:hyperlink>
      <w:r>
        <w:rPr>
          <w:color w:val="231F20"/>
          <w:spacing w:val="3"/>
          <w:sz w:val="18"/>
        </w:rPr>
        <w:t>. </w:t>
      </w:r>
      <w:r>
        <w:rPr>
          <w:color w:val="231F20"/>
          <w:sz w:val="18"/>
        </w:rPr>
        <w:t>Erişim Tarihi: 10.02.2021</w:t>
      </w:r>
    </w:p>
    <w:p>
      <w:pPr>
        <w:spacing w:line="254" w:lineRule="auto" w:before="58"/>
        <w:ind w:left="819" w:right="252" w:hanging="567"/>
        <w:jc w:val="both"/>
        <w:rPr>
          <w:sz w:val="18"/>
        </w:rPr>
      </w:pPr>
      <w:r>
        <w:rPr>
          <w:color w:val="231F20"/>
          <w:sz w:val="18"/>
        </w:rPr>
        <w:t>Raghuramapatruni, R. &amp; Kosuri, S. R. (2017). The straits of success in a VUCA world. IOSR Journal of Business and Management, 16–22.</w:t>
      </w:r>
    </w:p>
    <w:p>
      <w:pPr>
        <w:spacing w:line="254" w:lineRule="auto" w:before="58"/>
        <w:ind w:left="819" w:right="249" w:hanging="567"/>
        <w:jc w:val="both"/>
        <w:rPr>
          <w:sz w:val="18"/>
        </w:rPr>
      </w:pPr>
      <w:r>
        <w:rPr>
          <w:color w:val="231F20"/>
          <w:sz w:val="18"/>
        </w:rPr>
        <w:t>Redelinghuis,</w:t>
      </w:r>
      <w:r>
        <w:rPr>
          <w:color w:val="231F20"/>
          <w:spacing w:val="-9"/>
          <w:sz w:val="18"/>
        </w:rPr>
        <w:t> </w:t>
      </w:r>
      <w:r>
        <w:rPr>
          <w:color w:val="231F20"/>
          <w:sz w:val="18"/>
        </w:rPr>
        <w:t>H.</w:t>
      </w:r>
      <w:r>
        <w:rPr>
          <w:color w:val="231F20"/>
          <w:spacing w:val="-9"/>
          <w:sz w:val="18"/>
        </w:rPr>
        <w:t> </w:t>
      </w:r>
      <w:r>
        <w:rPr>
          <w:color w:val="231F20"/>
          <w:sz w:val="18"/>
        </w:rPr>
        <w:t>(2018).</w:t>
      </w:r>
      <w:r>
        <w:rPr>
          <w:color w:val="231F20"/>
          <w:spacing w:val="-9"/>
          <w:sz w:val="18"/>
        </w:rPr>
        <w:t> </w:t>
      </w:r>
      <w:r>
        <w:rPr>
          <w:color w:val="231F20"/>
          <w:sz w:val="18"/>
        </w:rPr>
        <w:t>Storytelling</w:t>
      </w:r>
      <w:r>
        <w:rPr>
          <w:color w:val="231F20"/>
          <w:spacing w:val="-9"/>
          <w:sz w:val="18"/>
        </w:rPr>
        <w:t> </w:t>
      </w:r>
      <w:r>
        <w:rPr>
          <w:color w:val="231F20"/>
          <w:sz w:val="18"/>
        </w:rPr>
        <w:t>as</w:t>
      </w:r>
      <w:r>
        <w:rPr>
          <w:color w:val="231F20"/>
          <w:spacing w:val="-9"/>
          <w:sz w:val="18"/>
        </w:rPr>
        <w:t> </w:t>
      </w:r>
      <w:r>
        <w:rPr>
          <w:color w:val="231F20"/>
          <w:sz w:val="18"/>
        </w:rPr>
        <w:t>a</w:t>
      </w:r>
      <w:r>
        <w:rPr>
          <w:color w:val="231F20"/>
          <w:spacing w:val="-9"/>
          <w:sz w:val="18"/>
        </w:rPr>
        <w:t> </w:t>
      </w:r>
      <w:r>
        <w:rPr>
          <w:color w:val="231F20"/>
          <w:sz w:val="18"/>
        </w:rPr>
        <w:t>mechanism</w:t>
      </w:r>
      <w:r>
        <w:rPr>
          <w:color w:val="231F20"/>
          <w:spacing w:val="-9"/>
          <w:sz w:val="18"/>
        </w:rPr>
        <w:t> </w:t>
      </w:r>
      <w:r>
        <w:rPr>
          <w:color w:val="231F20"/>
          <w:sz w:val="18"/>
        </w:rPr>
        <w:t>for</w:t>
      </w:r>
      <w:r>
        <w:rPr>
          <w:color w:val="231F20"/>
          <w:spacing w:val="-8"/>
          <w:sz w:val="18"/>
        </w:rPr>
        <w:t> </w:t>
      </w:r>
      <w:r>
        <w:rPr>
          <w:color w:val="231F20"/>
          <w:sz w:val="18"/>
        </w:rPr>
        <w:t>driving</w:t>
      </w:r>
      <w:r>
        <w:rPr>
          <w:color w:val="231F20"/>
          <w:spacing w:val="-9"/>
          <w:sz w:val="18"/>
        </w:rPr>
        <w:t> </w:t>
      </w:r>
      <w:r>
        <w:rPr>
          <w:color w:val="231F20"/>
          <w:sz w:val="18"/>
        </w:rPr>
        <w:t>the</w:t>
      </w:r>
      <w:r>
        <w:rPr>
          <w:color w:val="231F20"/>
          <w:spacing w:val="-9"/>
          <w:sz w:val="18"/>
        </w:rPr>
        <w:t> </w:t>
      </w:r>
      <w:r>
        <w:rPr>
          <w:color w:val="231F20"/>
          <w:sz w:val="18"/>
        </w:rPr>
        <w:t>employee</w:t>
      </w:r>
      <w:r>
        <w:rPr>
          <w:color w:val="231F20"/>
          <w:spacing w:val="-9"/>
          <w:sz w:val="18"/>
        </w:rPr>
        <w:t> </w:t>
      </w:r>
      <w:r>
        <w:rPr>
          <w:color w:val="231F20"/>
          <w:sz w:val="18"/>
        </w:rPr>
        <w:t>engagement</w:t>
      </w:r>
      <w:r>
        <w:rPr>
          <w:color w:val="231F20"/>
          <w:spacing w:val="-9"/>
          <w:sz w:val="18"/>
        </w:rPr>
        <w:t> </w:t>
      </w:r>
      <w:r>
        <w:rPr>
          <w:color w:val="231F20"/>
          <w:sz w:val="18"/>
        </w:rPr>
        <w:t>of</w:t>
      </w:r>
      <w:r>
        <w:rPr>
          <w:color w:val="231F20"/>
          <w:spacing w:val="-9"/>
          <w:sz w:val="18"/>
        </w:rPr>
        <w:t> </w:t>
      </w:r>
      <w:r>
        <w:rPr>
          <w:color w:val="231F20"/>
          <w:sz w:val="18"/>
        </w:rPr>
        <w:t>knowledge workers in a VUCA environment (Araştırma projesi). University of Pretoria. </w:t>
      </w:r>
      <w:hyperlink r:id="rId52">
        <w:r>
          <w:rPr>
            <w:color w:val="231F20"/>
            <w:sz w:val="18"/>
          </w:rPr>
          <w:t>http://hdl.handle.</w:t>
        </w:r>
      </w:hyperlink>
      <w:r>
        <w:rPr>
          <w:color w:val="231F20"/>
          <w:sz w:val="18"/>
        </w:rPr>
        <w:t> </w:t>
      </w:r>
      <w:hyperlink r:id="rId52">
        <w:r>
          <w:rPr>
            <w:color w:val="231F20"/>
            <w:sz w:val="18"/>
          </w:rPr>
          <w:t>net/2263/68794</w:t>
        </w:r>
      </w:hyperlink>
      <w:r>
        <w:rPr>
          <w:color w:val="231F20"/>
          <w:sz w:val="18"/>
        </w:rPr>
        <w:t>. Erişim Tarihi:</w:t>
      </w:r>
      <w:r>
        <w:rPr>
          <w:color w:val="231F20"/>
          <w:spacing w:val="-1"/>
          <w:sz w:val="18"/>
        </w:rPr>
        <w:t> </w:t>
      </w:r>
      <w:r>
        <w:rPr>
          <w:color w:val="231F20"/>
          <w:sz w:val="18"/>
        </w:rPr>
        <w:t>10.02.2021</w:t>
      </w:r>
    </w:p>
    <w:p>
      <w:pPr>
        <w:spacing w:line="254" w:lineRule="auto" w:before="59"/>
        <w:ind w:left="819" w:right="249" w:hanging="567"/>
        <w:jc w:val="both"/>
        <w:rPr>
          <w:sz w:val="18"/>
        </w:rPr>
      </w:pPr>
      <w:r>
        <w:rPr>
          <w:color w:val="231F20"/>
          <w:sz w:val="18"/>
        </w:rPr>
        <w:t>Richardson, J. (2022). Agile project management: Thinking differently. </w:t>
      </w:r>
      <w:hyperlink r:id="rId53">
        <w:r>
          <w:rPr>
            <w:color w:val="231F20"/>
            <w:sz w:val="18"/>
          </w:rPr>
          <w:t>https://pmi-portland.org/</w:t>
        </w:r>
      </w:hyperlink>
      <w:r>
        <w:rPr>
          <w:color w:val="231F20"/>
          <w:sz w:val="18"/>
        </w:rPr>
        <w:t> Erişim Tarihi: 10.02.2021</w:t>
      </w:r>
    </w:p>
    <w:p>
      <w:pPr>
        <w:spacing w:line="254" w:lineRule="auto" w:before="57"/>
        <w:ind w:left="819" w:right="249" w:hanging="567"/>
        <w:jc w:val="both"/>
        <w:rPr>
          <w:sz w:val="18"/>
        </w:rPr>
      </w:pPr>
      <w:r>
        <w:rPr>
          <w:color w:val="231F20"/>
          <w:sz w:val="18"/>
        </w:rPr>
        <w:t>Rimita, K. (2019). Leader readiness in a volatile, uncertain, complex, and ambiguous (VUCA) business environment (PhD Thesis). Walden University.</w:t>
      </w:r>
    </w:p>
    <w:p>
      <w:pPr>
        <w:spacing w:line="254" w:lineRule="auto" w:before="58"/>
        <w:ind w:left="819" w:right="250" w:hanging="567"/>
        <w:jc w:val="both"/>
        <w:rPr>
          <w:sz w:val="18"/>
        </w:rPr>
      </w:pPr>
      <w:r>
        <w:rPr>
          <w:color w:val="231F20"/>
          <w:sz w:val="18"/>
        </w:rPr>
        <w:t>Rodriguez, A. &amp; Rodriguez, Y. (2015). Metaphors for today’s leadership VUCA world, millennial     and “Cloud Leaders.” Journal of Management Development, 34(7), 854–866. </w:t>
      </w:r>
      <w:hyperlink r:id="rId54">
        <w:r>
          <w:rPr>
            <w:color w:val="231F20"/>
            <w:sz w:val="18"/>
          </w:rPr>
          <w:t>https://</w:t>
        </w:r>
      </w:hyperlink>
      <w:r>
        <w:rPr>
          <w:color w:val="231F20"/>
          <w:sz w:val="18"/>
        </w:rPr>
        <w:t> </w:t>
      </w:r>
      <w:hyperlink r:id="rId54">
        <w:r>
          <w:rPr>
            <w:color w:val="231F20"/>
            <w:sz w:val="18"/>
          </w:rPr>
          <w:t>doi10.1108jmd-09-2013-0</w:t>
        </w:r>
      </w:hyperlink>
      <w:r>
        <w:rPr>
          <w:color w:val="231F20"/>
          <w:sz w:val="18"/>
        </w:rPr>
        <w:t>.</w:t>
      </w:r>
    </w:p>
    <w:p>
      <w:pPr>
        <w:spacing w:line="254" w:lineRule="auto" w:before="59"/>
        <w:ind w:left="819" w:right="248" w:hanging="567"/>
        <w:jc w:val="both"/>
        <w:rPr>
          <w:sz w:val="18"/>
        </w:rPr>
      </w:pPr>
      <w:r>
        <w:rPr>
          <w:color w:val="231F20"/>
          <w:sz w:val="18"/>
        </w:rPr>
        <w:t>Saleh, A. &amp; Watson, R. (2017). Business excellence in a volatile, uncertain, complex and ambiguous environment (BEVUCA). Total Quality Management, 29(5), 705-724.</w:t>
      </w:r>
    </w:p>
    <w:p>
      <w:pPr>
        <w:spacing w:before="57"/>
        <w:ind w:left="252" w:right="0" w:firstLine="0"/>
        <w:jc w:val="both"/>
        <w:rPr>
          <w:sz w:val="18"/>
        </w:rPr>
      </w:pPr>
      <w:r>
        <w:rPr>
          <w:color w:val="231F20"/>
          <w:sz w:val="18"/>
        </w:rPr>
        <w:t>Sarıçam, E. (2017). Lider yönetici. İstanbul: AZ Yayıncılık.</w:t>
      </w:r>
    </w:p>
    <w:p>
      <w:pPr>
        <w:spacing w:line="254" w:lineRule="auto" w:before="70"/>
        <w:ind w:left="819" w:right="249" w:hanging="567"/>
        <w:jc w:val="both"/>
        <w:rPr>
          <w:sz w:val="18"/>
        </w:rPr>
      </w:pPr>
      <w:r>
        <w:rPr>
          <w:color w:val="231F20"/>
          <w:sz w:val="18"/>
        </w:rPr>
        <w:t>Sarkar,</w:t>
      </w:r>
      <w:r>
        <w:rPr>
          <w:color w:val="231F20"/>
          <w:spacing w:val="-11"/>
          <w:sz w:val="18"/>
        </w:rPr>
        <w:t> </w:t>
      </w:r>
      <w:r>
        <w:rPr>
          <w:color w:val="231F20"/>
          <w:sz w:val="18"/>
        </w:rPr>
        <w:t>A.</w:t>
      </w:r>
      <w:r>
        <w:rPr>
          <w:color w:val="231F20"/>
          <w:spacing w:val="-10"/>
          <w:sz w:val="18"/>
        </w:rPr>
        <w:t> </w:t>
      </w:r>
      <w:r>
        <w:rPr>
          <w:color w:val="231F20"/>
          <w:sz w:val="18"/>
        </w:rPr>
        <w:t>(2016).</w:t>
      </w:r>
      <w:r>
        <w:rPr>
          <w:color w:val="231F20"/>
          <w:spacing w:val="-10"/>
          <w:sz w:val="18"/>
        </w:rPr>
        <w:t> </w:t>
      </w:r>
      <w:r>
        <w:rPr>
          <w:color w:val="231F20"/>
          <w:sz w:val="18"/>
        </w:rPr>
        <w:t>We</w:t>
      </w:r>
      <w:r>
        <w:rPr>
          <w:color w:val="231F20"/>
          <w:spacing w:val="-11"/>
          <w:sz w:val="18"/>
        </w:rPr>
        <w:t> </w:t>
      </w:r>
      <w:r>
        <w:rPr>
          <w:color w:val="231F20"/>
          <w:sz w:val="18"/>
        </w:rPr>
        <w:t>live</w:t>
      </w:r>
      <w:r>
        <w:rPr>
          <w:color w:val="231F20"/>
          <w:spacing w:val="-10"/>
          <w:sz w:val="18"/>
        </w:rPr>
        <w:t> </w:t>
      </w:r>
      <w:r>
        <w:rPr>
          <w:color w:val="231F20"/>
          <w:sz w:val="18"/>
        </w:rPr>
        <w:t>in</w:t>
      </w:r>
      <w:r>
        <w:rPr>
          <w:color w:val="231F20"/>
          <w:spacing w:val="-10"/>
          <w:sz w:val="18"/>
        </w:rPr>
        <w:t> </w:t>
      </w:r>
      <w:r>
        <w:rPr>
          <w:color w:val="231F20"/>
          <w:sz w:val="18"/>
        </w:rPr>
        <w:t>a</w:t>
      </w:r>
      <w:r>
        <w:rPr>
          <w:color w:val="231F20"/>
          <w:spacing w:val="-10"/>
          <w:sz w:val="18"/>
        </w:rPr>
        <w:t> </w:t>
      </w:r>
      <w:r>
        <w:rPr>
          <w:color w:val="231F20"/>
          <w:sz w:val="18"/>
        </w:rPr>
        <w:t>VUCA</w:t>
      </w:r>
      <w:r>
        <w:rPr>
          <w:color w:val="231F20"/>
          <w:spacing w:val="-11"/>
          <w:sz w:val="18"/>
        </w:rPr>
        <w:t> </w:t>
      </w:r>
      <w:r>
        <w:rPr>
          <w:color w:val="231F20"/>
          <w:sz w:val="18"/>
        </w:rPr>
        <w:t>World</w:t>
      </w:r>
      <w:r>
        <w:rPr>
          <w:color w:val="231F20"/>
          <w:spacing w:val="-10"/>
          <w:sz w:val="18"/>
        </w:rPr>
        <w:t> </w:t>
      </w:r>
      <w:r>
        <w:rPr>
          <w:color w:val="231F20"/>
          <w:sz w:val="18"/>
        </w:rPr>
        <w:t>The</w:t>
      </w:r>
      <w:r>
        <w:rPr>
          <w:color w:val="231F20"/>
          <w:spacing w:val="-10"/>
          <w:sz w:val="18"/>
        </w:rPr>
        <w:t> </w:t>
      </w:r>
      <w:r>
        <w:rPr>
          <w:color w:val="231F20"/>
          <w:sz w:val="18"/>
        </w:rPr>
        <w:t>importance</w:t>
      </w:r>
      <w:r>
        <w:rPr>
          <w:color w:val="231F20"/>
          <w:spacing w:val="-10"/>
          <w:sz w:val="18"/>
        </w:rPr>
        <w:t> </w:t>
      </w:r>
      <w:r>
        <w:rPr>
          <w:color w:val="231F20"/>
          <w:sz w:val="18"/>
        </w:rPr>
        <w:t>of</w:t>
      </w:r>
      <w:r>
        <w:rPr>
          <w:color w:val="231F20"/>
          <w:spacing w:val="-11"/>
          <w:sz w:val="18"/>
        </w:rPr>
        <w:t> </w:t>
      </w:r>
      <w:r>
        <w:rPr>
          <w:color w:val="231F20"/>
          <w:sz w:val="18"/>
        </w:rPr>
        <w:t>responsible</w:t>
      </w:r>
      <w:r>
        <w:rPr>
          <w:color w:val="231F20"/>
          <w:spacing w:val="-10"/>
          <w:sz w:val="18"/>
        </w:rPr>
        <w:t> </w:t>
      </w:r>
      <w:r>
        <w:rPr>
          <w:color w:val="231F20"/>
          <w:sz w:val="18"/>
        </w:rPr>
        <w:t>leadership.</w:t>
      </w:r>
      <w:r>
        <w:rPr>
          <w:color w:val="231F20"/>
          <w:spacing w:val="-10"/>
          <w:sz w:val="18"/>
        </w:rPr>
        <w:t> </w:t>
      </w:r>
      <w:r>
        <w:rPr>
          <w:color w:val="231F20"/>
          <w:sz w:val="18"/>
        </w:rPr>
        <w:t>Development</w:t>
      </w:r>
      <w:r>
        <w:rPr>
          <w:color w:val="231F20"/>
          <w:spacing w:val="-11"/>
          <w:sz w:val="18"/>
        </w:rPr>
        <w:t> </w:t>
      </w:r>
      <w:r>
        <w:rPr>
          <w:color w:val="231F20"/>
          <w:sz w:val="18"/>
        </w:rPr>
        <w:t>and Learning in Organizations An International Journal, 30(3),</w:t>
      </w:r>
      <w:r>
        <w:rPr>
          <w:color w:val="231F20"/>
          <w:spacing w:val="-6"/>
          <w:sz w:val="18"/>
        </w:rPr>
        <w:t> </w:t>
      </w:r>
      <w:r>
        <w:rPr>
          <w:color w:val="231F20"/>
          <w:sz w:val="18"/>
        </w:rPr>
        <w:t>9-12.</w:t>
      </w:r>
    </w:p>
    <w:p>
      <w:pPr>
        <w:spacing w:line="254" w:lineRule="auto" w:before="58"/>
        <w:ind w:left="819" w:right="250" w:hanging="567"/>
        <w:jc w:val="both"/>
        <w:rPr>
          <w:sz w:val="18"/>
        </w:rPr>
      </w:pPr>
      <w:r>
        <w:rPr>
          <w:color w:val="231F20"/>
          <w:sz w:val="18"/>
        </w:rPr>
        <w:t>Schermelleh-Engel, K., Moosbrugger, H. &amp; Müller, H. (2003). Evaluating the fit of structural equation models:</w:t>
      </w:r>
      <w:r>
        <w:rPr>
          <w:color w:val="231F20"/>
          <w:spacing w:val="-14"/>
          <w:sz w:val="18"/>
        </w:rPr>
        <w:t> </w:t>
      </w:r>
      <w:r>
        <w:rPr>
          <w:color w:val="231F20"/>
          <w:sz w:val="18"/>
        </w:rPr>
        <w:t>Tests</w:t>
      </w:r>
      <w:r>
        <w:rPr>
          <w:color w:val="231F20"/>
          <w:spacing w:val="-12"/>
          <w:sz w:val="18"/>
        </w:rPr>
        <w:t> </w:t>
      </w:r>
      <w:r>
        <w:rPr>
          <w:color w:val="231F20"/>
          <w:sz w:val="18"/>
        </w:rPr>
        <w:t>of</w:t>
      </w:r>
      <w:r>
        <w:rPr>
          <w:color w:val="231F20"/>
          <w:spacing w:val="-14"/>
          <w:sz w:val="18"/>
        </w:rPr>
        <w:t> </w:t>
      </w:r>
      <w:r>
        <w:rPr>
          <w:color w:val="231F20"/>
          <w:sz w:val="18"/>
        </w:rPr>
        <w:t>significance</w:t>
      </w:r>
      <w:r>
        <w:rPr>
          <w:color w:val="231F20"/>
          <w:spacing w:val="-13"/>
          <w:sz w:val="18"/>
        </w:rPr>
        <w:t> </w:t>
      </w:r>
      <w:r>
        <w:rPr>
          <w:color w:val="231F20"/>
          <w:sz w:val="18"/>
        </w:rPr>
        <w:t>and</w:t>
      </w:r>
      <w:r>
        <w:rPr>
          <w:color w:val="231F20"/>
          <w:spacing w:val="-14"/>
          <w:sz w:val="18"/>
        </w:rPr>
        <w:t> </w:t>
      </w:r>
      <w:r>
        <w:rPr>
          <w:color w:val="231F20"/>
          <w:sz w:val="18"/>
        </w:rPr>
        <w:t>descriptive</w:t>
      </w:r>
      <w:r>
        <w:rPr>
          <w:color w:val="231F20"/>
          <w:spacing w:val="-13"/>
          <w:sz w:val="18"/>
        </w:rPr>
        <w:t> </w:t>
      </w:r>
      <w:r>
        <w:rPr>
          <w:color w:val="231F20"/>
          <w:sz w:val="18"/>
        </w:rPr>
        <w:t>goodness-of-fit</w:t>
      </w:r>
      <w:r>
        <w:rPr>
          <w:color w:val="231F20"/>
          <w:spacing w:val="-13"/>
          <w:sz w:val="18"/>
        </w:rPr>
        <w:t> </w:t>
      </w:r>
      <w:r>
        <w:rPr>
          <w:color w:val="231F20"/>
          <w:sz w:val="18"/>
        </w:rPr>
        <w:t>measures.</w:t>
      </w:r>
      <w:r>
        <w:rPr>
          <w:color w:val="231F20"/>
          <w:spacing w:val="-14"/>
          <w:sz w:val="18"/>
        </w:rPr>
        <w:t> </w:t>
      </w:r>
      <w:r>
        <w:rPr>
          <w:color w:val="231F20"/>
          <w:sz w:val="18"/>
        </w:rPr>
        <w:t>Methods</w:t>
      </w:r>
      <w:r>
        <w:rPr>
          <w:color w:val="231F20"/>
          <w:spacing w:val="-13"/>
          <w:sz w:val="18"/>
        </w:rPr>
        <w:t> </w:t>
      </w:r>
      <w:r>
        <w:rPr>
          <w:color w:val="231F20"/>
          <w:sz w:val="18"/>
        </w:rPr>
        <w:t>of</w:t>
      </w:r>
      <w:r>
        <w:rPr>
          <w:color w:val="231F20"/>
          <w:spacing w:val="-14"/>
          <w:sz w:val="18"/>
        </w:rPr>
        <w:t> </w:t>
      </w:r>
      <w:r>
        <w:rPr>
          <w:color w:val="231F20"/>
          <w:sz w:val="18"/>
        </w:rPr>
        <w:t>Psychological Research Online, 8(2),</w:t>
      </w:r>
      <w:r>
        <w:rPr>
          <w:color w:val="231F20"/>
          <w:spacing w:val="-2"/>
          <w:sz w:val="18"/>
        </w:rPr>
        <w:t> </w:t>
      </w:r>
      <w:r>
        <w:rPr>
          <w:color w:val="231F20"/>
          <w:sz w:val="18"/>
        </w:rPr>
        <w:t>23-74.</w:t>
      </w:r>
    </w:p>
    <w:p>
      <w:pPr>
        <w:spacing w:after="0" w:line="254" w:lineRule="auto"/>
        <w:jc w:val="both"/>
        <w:rPr>
          <w:sz w:val="18"/>
        </w:rPr>
        <w:sectPr>
          <w:pgSz w:w="9530" w:h="13610"/>
          <w:pgMar w:header="700" w:footer="344" w:top="1060" w:bottom="540" w:left="740" w:right="740"/>
        </w:sectPr>
      </w:pPr>
    </w:p>
    <w:p>
      <w:pPr>
        <w:pStyle w:val="BodyText"/>
      </w:pPr>
    </w:p>
    <w:p>
      <w:pPr>
        <w:pStyle w:val="BodyText"/>
        <w:spacing w:before="5"/>
      </w:pPr>
    </w:p>
    <w:p>
      <w:pPr>
        <w:spacing w:before="0"/>
        <w:ind w:left="252" w:right="0" w:firstLine="0"/>
        <w:jc w:val="both"/>
        <w:rPr>
          <w:sz w:val="18"/>
        </w:rPr>
      </w:pPr>
      <w:r>
        <w:rPr>
          <w:color w:val="231F20"/>
          <w:sz w:val="18"/>
        </w:rPr>
        <w:t>Schumacher, R.E. &amp; Lomax R.G. (2004). A beginner’s guide to structural equation modeling (2</w:t>
      </w:r>
      <w:r>
        <w:rPr>
          <w:color w:val="231F20"/>
          <w:sz w:val="18"/>
          <w:vertAlign w:val="superscript"/>
        </w:rPr>
        <w:t>nd</w:t>
      </w:r>
      <w:r>
        <w:rPr>
          <w:color w:val="231F20"/>
          <w:sz w:val="18"/>
          <w:vertAlign w:val="baseline"/>
        </w:rPr>
        <w:t> ed).</w:t>
      </w:r>
    </w:p>
    <w:p>
      <w:pPr>
        <w:spacing w:before="13"/>
        <w:ind w:left="819" w:right="0" w:firstLine="0"/>
        <w:jc w:val="both"/>
        <w:rPr>
          <w:sz w:val="18"/>
        </w:rPr>
      </w:pPr>
      <w:r>
        <w:rPr>
          <w:color w:val="231F20"/>
          <w:sz w:val="18"/>
        </w:rPr>
        <w:t>Lawrenge Erlbaum Associates.</w:t>
      </w:r>
    </w:p>
    <w:p>
      <w:pPr>
        <w:spacing w:line="254" w:lineRule="auto" w:before="70"/>
        <w:ind w:left="819" w:right="252" w:hanging="567"/>
        <w:jc w:val="both"/>
        <w:rPr>
          <w:sz w:val="18"/>
        </w:rPr>
      </w:pPr>
      <w:r>
        <w:rPr>
          <w:color w:val="231F20"/>
          <w:sz w:val="18"/>
        </w:rPr>
        <w:t>Seçer, İ. (2015a). Psikolojik test geliştirme ve uyarlama süreci; SPSS ve LISREL uygulamaları. Ankara: Anı Yayıncılık.</w:t>
      </w:r>
    </w:p>
    <w:p>
      <w:pPr>
        <w:spacing w:before="58"/>
        <w:ind w:left="252" w:right="0" w:firstLine="0"/>
        <w:jc w:val="both"/>
        <w:rPr>
          <w:sz w:val="18"/>
        </w:rPr>
      </w:pPr>
      <w:r>
        <w:rPr>
          <w:color w:val="231F20"/>
          <w:sz w:val="18"/>
        </w:rPr>
        <w:t>Seçer, İ. (2015b). SPSS ve LISREL ile pratik veri analizi (2.bs.). Ankara: Anı Yayıncılık.</w:t>
      </w:r>
    </w:p>
    <w:p>
      <w:pPr>
        <w:spacing w:line="254" w:lineRule="auto" w:before="69"/>
        <w:ind w:left="819" w:right="248" w:hanging="567"/>
        <w:jc w:val="both"/>
        <w:rPr>
          <w:sz w:val="18"/>
        </w:rPr>
      </w:pPr>
      <w:r>
        <w:rPr>
          <w:color w:val="231F20"/>
          <w:sz w:val="18"/>
        </w:rPr>
        <w:t>Shevlin,</w:t>
      </w:r>
      <w:r>
        <w:rPr>
          <w:color w:val="231F20"/>
          <w:spacing w:val="-13"/>
          <w:sz w:val="18"/>
        </w:rPr>
        <w:t> </w:t>
      </w:r>
      <w:r>
        <w:rPr>
          <w:color w:val="231F20"/>
          <w:sz w:val="18"/>
        </w:rPr>
        <w:t>M.,</w:t>
      </w:r>
      <w:r>
        <w:rPr>
          <w:color w:val="231F20"/>
          <w:spacing w:val="-13"/>
          <w:sz w:val="18"/>
        </w:rPr>
        <w:t> </w:t>
      </w:r>
      <w:r>
        <w:rPr>
          <w:color w:val="231F20"/>
          <w:sz w:val="18"/>
        </w:rPr>
        <w:t>Banyard,</w:t>
      </w:r>
      <w:r>
        <w:rPr>
          <w:color w:val="231F20"/>
          <w:spacing w:val="-12"/>
          <w:sz w:val="18"/>
        </w:rPr>
        <w:t> </w:t>
      </w:r>
      <w:r>
        <w:rPr>
          <w:color w:val="231F20"/>
          <w:sz w:val="18"/>
        </w:rPr>
        <w:t>P.,</w:t>
      </w:r>
      <w:r>
        <w:rPr>
          <w:color w:val="231F20"/>
          <w:spacing w:val="-13"/>
          <w:sz w:val="18"/>
        </w:rPr>
        <w:t> </w:t>
      </w:r>
      <w:r>
        <w:rPr>
          <w:color w:val="231F20"/>
          <w:sz w:val="18"/>
        </w:rPr>
        <w:t>Davies,</w:t>
      </w:r>
      <w:r>
        <w:rPr>
          <w:color w:val="231F20"/>
          <w:spacing w:val="-12"/>
          <w:sz w:val="18"/>
        </w:rPr>
        <w:t> </w:t>
      </w:r>
      <w:r>
        <w:rPr>
          <w:color w:val="231F20"/>
          <w:sz w:val="18"/>
        </w:rPr>
        <w:t>M.</w:t>
      </w:r>
      <w:r>
        <w:rPr>
          <w:color w:val="231F20"/>
          <w:spacing w:val="-13"/>
          <w:sz w:val="18"/>
        </w:rPr>
        <w:t> </w:t>
      </w:r>
      <w:r>
        <w:rPr>
          <w:color w:val="231F20"/>
          <w:sz w:val="18"/>
        </w:rPr>
        <w:t>&amp;</w:t>
      </w:r>
      <w:r>
        <w:rPr>
          <w:color w:val="231F20"/>
          <w:spacing w:val="-12"/>
          <w:sz w:val="18"/>
        </w:rPr>
        <w:t> </w:t>
      </w:r>
      <w:r>
        <w:rPr>
          <w:color w:val="231F20"/>
          <w:sz w:val="18"/>
        </w:rPr>
        <w:t>Griffiths,</w:t>
      </w:r>
      <w:r>
        <w:rPr>
          <w:color w:val="231F20"/>
          <w:spacing w:val="-13"/>
          <w:sz w:val="18"/>
        </w:rPr>
        <w:t> </w:t>
      </w:r>
      <w:r>
        <w:rPr>
          <w:color w:val="231F20"/>
          <w:sz w:val="18"/>
        </w:rPr>
        <w:t>M.</w:t>
      </w:r>
      <w:r>
        <w:rPr>
          <w:color w:val="231F20"/>
          <w:spacing w:val="-12"/>
          <w:sz w:val="18"/>
        </w:rPr>
        <w:t> </w:t>
      </w:r>
      <w:r>
        <w:rPr>
          <w:color w:val="231F20"/>
          <w:sz w:val="18"/>
        </w:rPr>
        <w:t>(2000).</w:t>
      </w:r>
      <w:r>
        <w:rPr>
          <w:color w:val="231F20"/>
          <w:spacing w:val="-13"/>
          <w:sz w:val="18"/>
        </w:rPr>
        <w:t> </w:t>
      </w:r>
      <w:r>
        <w:rPr>
          <w:color w:val="231F20"/>
          <w:sz w:val="18"/>
        </w:rPr>
        <w:t>The</w:t>
      </w:r>
      <w:r>
        <w:rPr>
          <w:color w:val="231F20"/>
          <w:spacing w:val="-12"/>
          <w:sz w:val="18"/>
        </w:rPr>
        <w:t> </w:t>
      </w:r>
      <w:r>
        <w:rPr>
          <w:color w:val="231F20"/>
          <w:sz w:val="18"/>
        </w:rPr>
        <w:t>validity</w:t>
      </w:r>
      <w:r>
        <w:rPr>
          <w:color w:val="231F20"/>
          <w:spacing w:val="-13"/>
          <w:sz w:val="18"/>
        </w:rPr>
        <w:t> </w:t>
      </w:r>
      <w:r>
        <w:rPr>
          <w:color w:val="231F20"/>
          <w:sz w:val="18"/>
        </w:rPr>
        <w:t>of</w:t>
      </w:r>
      <w:r>
        <w:rPr>
          <w:color w:val="231F20"/>
          <w:spacing w:val="-12"/>
          <w:sz w:val="18"/>
        </w:rPr>
        <w:t> </w:t>
      </w:r>
      <w:r>
        <w:rPr>
          <w:color w:val="231F20"/>
          <w:sz w:val="18"/>
        </w:rPr>
        <w:t>student</w:t>
      </w:r>
      <w:r>
        <w:rPr>
          <w:color w:val="231F20"/>
          <w:spacing w:val="-13"/>
          <w:sz w:val="18"/>
        </w:rPr>
        <w:t> </w:t>
      </w:r>
      <w:r>
        <w:rPr>
          <w:color w:val="231F20"/>
          <w:sz w:val="18"/>
        </w:rPr>
        <w:t>evaluation</w:t>
      </w:r>
      <w:r>
        <w:rPr>
          <w:color w:val="231F20"/>
          <w:spacing w:val="-12"/>
          <w:sz w:val="18"/>
        </w:rPr>
        <w:t> </w:t>
      </w:r>
      <w:r>
        <w:rPr>
          <w:color w:val="231F20"/>
          <w:sz w:val="18"/>
        </w:rPr>
        <w:t>of</w:t>
      </w:r>
      <w:r>
        <w:rPr>
          <w:color w:val="231F20"/>
          <w:spacing w:val="-13"/>
          <w:sz w:val="18"/>
        </w:rPr>
        <w:t> </w:t>
      </w:r>
      <w:r>
        <w:rPr>
          <w:color w:val="231F20"/>
          <w:sz w:val="18"/>
        </w:rPr>
        <w:t>teaching in higher education: Love me, love my lectures?. Assessment &amp; Evaluation in Higher Education, </w:t>
      </w:r>
      <w:hyperlink r:id="rId55">
        <w:r>
          <w:rPr>
            <w:color w:val="231F20"/>
            <w:sz w:val="18"/>
          </w:rPr>
          <w:t>25(4), 397-405. https://doi.org/10.1080/713611436</w:t>
        </w:r>
      </w:hyperlink>
      <w:r>
        <w:rPr>
          <w:color w:val="231F20"/>
          <w:sz w:val="18"/>
        </w:rPr>
        <w:t>.</w:t>
      </w:r>
    </w:p>
    <w:p>
      <w:pPr>
        <w:spacing w:line="254" w:lineRule="auto" w:before="59"/>
        <w:ind w:left="819" w:right="250" w:hanging="567"/>
        <w:jc w:val="both"/>
        <w:rPr>
          <w:sz w:val="18"/>
        </w:rPr>
      </w:pPr>
      <w:r>
        <w:rPr>
          <w:color w:val="231F20"/>
          <w:sz w:val="18"/>
        </w:rPr>
        <w:t>Simon, D., Kriston, L., Loh, A., Spies, C., Scheibler, F., Wills, C. &amp; Härter, M. (2010). Confirmatory factor</w:t>
      </w:r>
      <w:r>
        <w:rPr>
          <w:color w:val="231F20"/>
          <w:spacing w:val="-7"/>
          <w:sz w:val="18"/>
        </w:rPr>
        <w:t> </w:t>
      </w:r>
      <w:r>
        <w:rPr>
          <w:color w:val="231F20"/>
          <w:sz w:val="18"/>
        </w:rPr>
        <w:t>analysis</w:t>
      </w:r>
      <w:r>
        <w:rPr>
          <w:color w:val="231F20"/>
          <w:spacing w:val="-6"/>
          <w:sz w:val="18"/>
        </w:rPr>
        <w:t> </w:t>
      </w:r>
      <w:r>
        <w:rPr>
          <w:color w:val="231F20"/>
          <w:sz w:val="18"/>
        </w:rPr>
        <w:t>and</w:t>
      </w:r>
      <w:r>
        <w:rPr>
          <w:color w:val="231F20"/>
          <w:spacing w:val="-7"/>
          <w:sz w:val="18"/>
        </w:rPr>
        <w:t> </w:t>
      </w:r>
      <w:r>
        <w:rPr>
          <w:color w:val="231F20"/>
          <w:sz w:val="18"/>
        </w:rPr>
        <w:t>recommendations</w:t>
      </w:r>
      <w:r>
        <w:rPr>
          <w:color w:val="231F20"/>
          <w:spacing w:val="-7"/>
          <w:sz w:val="18"/>
        </w:rPr>
        <w:t> </w:t>
      </w:r>
      <w:r>
        <w:rPr>
          <w:color w:val="231F20"/>
          <w:sz w:val="18"/>
        </w:rPr>
        <w:t>for</w:t>
      </w:r>
      <w:r>
        <w:rPr>
          <w:color w:val="231F20"/>
          <w:spacing w:val="-7"/>
          <w:sz w:val="18"/>
        </w:rPr>
        <w:t> </w:t>
      </w:r>
      <w:r>
        <w:rPr>
          <w:color w:val="231F20"/>
          <w:sz w:val="18"/>
        </w:rPr>
        <w:t>improvement</w:t>
      </w:r>
      <w:r>
        <w:rPr>
          <w:color w:val="231F20"/>
          <w:spacing w:val="-6"/>
          <w:sz w:val="18"/>
        </w:rPr>
        <w:t> </w:t>
      </w:r>
      <w:r>
        <w:rPr>
          <w:color w:val="231F20"/>
          <w:sz w:val="18"/>
        </w:rPr>
        <w:t>of</w:t>
      </w:r>
      <w:r>
        <w:rPr>
          <w:color w:val="231F20"/>
          <w:spacing w:val="-7"/>
          <w:sz w:val="18"/>
        </w:rPr>
        <w:t> </w:t>
      </w:r>
      <w:r>
        <w:rPr>
          <w:color w:val="231F20"/>
          <w:sz w:val="18"/>
        </w:rPr>
        <w:t>the</w:t>
      </w:r>
      <w:r>
        <w:rPr>
          <w:color w:val="231F20"/>
          <w:spacing w:val="-6"/>
          <w:sz w:val="18"/>
        </w:rPr>
        <w:t> </w:t>
      </w:r>
      <w:r>
        <w:rPr>
          <w:color w:val="231F20"/>
          <w:sz w:val="18"/>
        </w:rPr>
        <w:t>Autonomy-Preference-Index</w:t>
      </w:r>
      <w:r>
        <w:rPr>
          <w:color w:val="231F20"/>
          <w:spacing w:val="-7"/>
          <w:sz w:val="18"/>
        </w:rPr>
        <w:t> </w:t>
      </w:r>
      <w:r>
        <w:rPr>
          <w:color w:val="231F20"/>
          <w:sz w:val="18"/>
        </w:rPr>
        <w:t>(API). Health Expectations, 13(3), 234-243.</w:t>
      </w:r>
      <w:r>
        <w:rPr>
          <w:color w:val="231F20"/>
          <w:spacing w:val="-4"/>
          <w:sz w:val="18"/>
        </w:rPr>
        <w:t> </w:t>
      </w:r>
      <w:hyperlink r:id="rId56">
        <w:r>
          <w:rPr>
            <w:color w:val="231F20"/>
            <w:sz w:val="18"/>
          </w:rPr>
          <w:t>https://doi.org/10.1111/j.1369-7625.2009.00584.x</w:t>
        </w:r>
      </w:hyperlink>
      <w:r>
        <w:rPr>
          <w:color w:val="231F20"/>
          <w:sz w:val="18"/>
        </w:rPr>
        <w:t>.</w:t>
      </w:r>
    </w:p>
    <w:p>
      <w:pPr>
        <w:spacing w:line="254" w:lineRule="auto" w:before="58"/>
        <w:ind w:left="819" w:right="252" w:hanging="567"/>
        <w:jc w:val="both"/>
        <w:rPr>
          <w:sz w:val="18"/>
        </w:rPr>
      </w:pPr>
      <w:r>
        <w:rPr>
          <w:color w:val="231F20"/>
          <w:sz w:val="18"/>
        </w:rPr>
        <w:t>Stiehm, J. H. (2002). The U.S. Army War College: Military education in a democracy. Philadelphia: Temple University Press.</w:t>
      </w:r>
    </w:p>
    <w:p>
      <w:pPr>
        <w:spacing w:line="254" w:lineRule="auto" w:before="58"/>
        <w:ind w:left="819" w:right="250" w:hanging="567"/>
        <w:jc w:val="both"/>
        <w:rPr>
          <w:sz w:val="18"/>
        </w:rPr>
      </w:pPr>
      <w:r>
        <w:rPr>
          <w:color w:val="231F20"/>
          <w:sz w:val="18"/>
        </w:rPr>
        <w:t>Streiner, D.L. (1994). Figuring out factors: The use and misuse of factor analysis. Canadian Journal of Psychiatry, 39(3), 135-140.</w:t>
      </w:r>
    </w:p>
    <w:p>
      <w:pPr>
        <w:spacing w:before="58"/>
        <w:ind w:left="252" w:right="0" w:firstLine="0"/>
        <w:jc w:val="both"/>
        <w:rPr>
          <w:sz w:val="18"/>
        </w:rPr>
      </w:pPr>
      <w:r>
        <w:rPr>
          <w:color w:val="231F20"/>
          <w:sz w:val="18"/>
        </w:rPr>
        <w:t>Suhr, D. D. (2006). Exploratory or confirmatory factor analysis?. Statistical and Data Analyses, 1-17.</w:t>
      </w:r>
    </w:p>
    <w:p>
      <w:pPr>
        <w:spacing w:line="254" w:lineRule="auto" w:before="69"/>
        <w:ind w:left="819" w:right="249" w:hanging="567"/>
        <w:jc w:val="both"/>
        <w:rPr>
          <w:sz w:val="18"/>
        </w:rPr>
      </w:pPr>
      <w:r>
        <w:rPr>
          <w:color w:val="231F20"/>
          <w:sz w:val="18"/>
        </w:rPr>
        <w:t>Sullivan, J. (2012). VUCA: The new normal for talent management and workforce planning. </w:t>
      </w:r>
      <w:hyperlink r:id="rId57">
        <w:r>
          <w:rPr>
            <w:color w:val="231F20"/>
            <w:sz w:val="18"/>
          </w:rPr>
          <w:t>https://</w:t>
        </w:r>
      </w:hyperlink>
      <w:r>
        <w:rPr>
          <w:color w:val="231F20"/>
          <w:sz w:val="18"/>
        </w:rPr>
        <w:t> </w:t>
      </w:r>
      <w:hyperlink r:id="rId57">
        <w:r>
          <w:rPr>
            <w:color w:val="231F20"/>
            <w:sz w:val="18"/>
          </w:rPr>
          <w:t>www.eremedia.com/</w:t>
        </w:r>
      </w:hyperlink>
      <w:r>
        <w:rPr>
          <w:color w:val="231F20"/>
          <w:sz w:val="18"/>
        </w:rPr>
        <w:t>. Erişim Tarihi: 10.02.2021</w:t>
      </w:r>
    </w:p>
    <w:p>
      <w:pPr>
        <w:spacing w:line="321" w:lineRule="auto" w:before="58"/>
        <w:ind w:left="252" w:right="249" w:firstLine="0"/>
        <w:jc w:val="both"/>
        <w:rPr>
          <w:sz w:val="18"/>
        </w:rPr>
      </w:pPr>
      <w:r>
        <w:rPr>
          <w:color w:val="231F20"/>
          <w:sz w:val="18"/>
        </w:rPr>
        <w:t>Şeker, H. &amp; Gençdoğan, B. (2014). Psikolojide ve eğitimde ölçme aracı geliştirme. Ankara: Pegem. Vijaybaskar,</w:t>
      </w:r>
      <w:r>
        <w:rPr>
          <w:color w:val="231F20"/>
          <w:spacing w:val="-9"/>
          <w:sz w:val="18"/>
        </w:rPr>
        <w:t> </w:t>
      </w:r>
      <w:r>
        <w:rPr>
          <w:color w:val="231F20"/>
          <w:sz w:val="18"/>
        </w:rPr>
        <w:t>L.</w:t>
      </w:r>
      <w:r>
        <w:rPr>
          <w:color w:val="231F20"/>
          <w:spacing w:val="-8"/>
          <w:sz w:val="18"/>
        </w:rPr>
        <w:t> </w:t>
      </w:r>
      <w:r>
        <w:rPr>
          <w:color w:val="231F20"/>
          <w:sz w:val="18"/>
        </w:rPr>
        <w:t>(2020).</w:t>
      </w:r>
      <w:r>
        <w:rPr>
          <w:color w:val="231F20"/>
          <w:spacing w:val="-8"/>
          <w:sz w:val="18"/>
        </w:rPr>
        <w:t> </w:t>
      </w:r>
      <w:r>
        <w:rPr>
          <w:color w:val="231F20"/>
          <w:sz w:val="18"/>
        </w:rPr>
        <w:t>A</w:t>
      </w:r>
      <w:r>
        <w:rPr>
          <w:color w:val="231F20"/>
          <w:spacing w:val="-8"/>
          <w:sz w:val="18"/>
        </w:rPr>
        <w:t> </w:t>
      </w:r>
      <w:r>
        <w:rPr>
          <w:color w:val="231F20"/>
          <w:sz w:val="18"/>
        </w:rPr>
        <w:t>new</w:t>
      </w:r>
      <w:r>
        <w:rPr>
          <w:color w:val="231F20"/>
          <w:spacing w:val="-9"/>
          <w:sz w:val="18"/>
        </w:rPr>
        <w:t> </w:t>
      </w:r>
      <w:r>
        <w:rPr>
          <w:color w:val="231F20"/>
          <w:sz w:val="18"/>
        </w:rPr>
        <w:t>leadership</w:t>
      </w:r>
      <w:r>
        <w:rPr>
          <w:color w:val="231F20"/>
          <w:spacing w:val="-8"/>
          <w:sz w:val="18"/>
        </w:rPr>
        <w:t> </w:t>
      </w:r>
      <w:r>
        <w:rPr>
          <w:color w:val="231F20"/>
          <w:sz w:val="18"/>
        </w:rPr>
        <w:t>model</w:t>
      </w:r>
      <w:r>
        <w:rPr>
          <w:color w:val="231F20"/>
          <w:spacing w:val="-8"/>
          <w:sz w:val="18"/>
        </w:rPr>
        <w:t> </w:t>
      </w:r>
      <w:r>
        <w:rPr>
          <w:color w:val="231F20"/>
          <w:sz w:val="18"/>
        </w:rPr>
        <w:t>for</w:t>
      </w:r>
      <w:r>
        <w:rPr>
          <w:color w:val="231F20"/>
          <w:spacing w:val="-8"/>
          <w:sz w:val="18"/>
        </w:rPr>
        <w:t> </w:t>
      </w:r>
      <w:r>
        <w:rPr>
          <w:color w:val="231F20"/>
          <w:sz w:val="18"/>
        </w:rPr>
        <w:t>millennial</w:t>
      </w:r>
      <w:r>
        <w:rPr>
          <w:color w:val="231F20"/>
          <w:spacing w:val="-9"/>
          <w:sz w:val="18"/>
        </w:rPr>
        <w:t> </w:t>
      </w:r>
      <w:r>
        <w:rPr>
          <w:color w:val="231F20"/>
          <w:sz w:val="18"/>
        </w:rPr>
        <w:t>leaders</w:t>
      </w:r>
      <w:r>
        <w:rPr>
          <w:color w:val="231F20"/>
          <w:spacing w:val="-8"/>
          <w:sz w:val="18"/>
        </w:rPr>
        <w:t> </w:t>
      </w:r>
      <w:r>
        <w:rPr>
          <w:color w:val="231F20"/>
          <w:sz w:val="18"/>
        </w:rPr>
        <w:t>in</w:t>
      </w:r>
      <w:r>
        <w:rPr>
          <w:color w:val="231F20"/>
          <w:spacing w:val="-8"/>
          <w:sz w:val="18"/>
        </w:rPr>
        <w:t> </w:t>
      </w:r>
      <w:r>
        <w:rPr>
          <w:color w:val="231F20"/>
          <w:sz w:val="18"/>
        </w:rPr>
        <w:t>the</w:t>
      </w:r>
      <w:r>
        <w:rPr>
          <w:color w:val="231F20"/>
          <w:spacing w:val="-8"/>
          <w:sz w:val="18"/>
        </w:rPr>
        <w:t> </w:t>
      </w:r>
      <w:r>
        <w:rPr>
          <w:color w:val="231F20"/>
          <w:sz w:val="18"/>
        </w:rPr>
        <w:t>innovation</w:t>
      </w:r>
      <w:r>
        <w:rPr>
          <w:color w:val="231F20"/>
          <w:spacing w:val="-9"/>
          <w:sz w:val="18"/>
        </w:rPr>
        <w:t> </w:t>
      </w:r>
      <w:r>
        <w:rPr>
          <w:color w:val="231F20"/>
          <w:sz w:val="18"/>
        </w:rPr>
        <w:t>age.</w:t>
      </w:r>
      <w:r>
        <w:rPr>
          <w:color w:val="231F20"/>
          <w:spacing w:val="-8"/>
          <w:sz w:val="18"/>
        </w:rPr>
        <w:t> </w:t>
      </w:r>
      <w:r>
        <w:rPr>
          <w:color w:val="231F20"/>
          <w:sz w:val="18"/>
        </w:rPr>
        <w:t>The</w:t>
      </w:r>
      <w:r>
        <w:rPr>
          <w:color w:val="231F20"/>
          <w:spacing w:val="-8"/>
          <w:sz w:val="18"/>
        </w:rPr>
        <w:t> </w:t>
      </w:r>
      <w:r>
        <w:rPr>
          <w:color w:val="231F20"/>
          <w:sz w:val="18"/>
        </w:rPr>
        <w:t>Journal-</w:t>
      </w:r>
    </w:p>
    <w:p>
      <w:pPr>
        <w:spacing w:line="149" w:lineRule="exact" w:before="0"/>
        <w:ind w:left="819" w:right="0" w:firstLine="0"/>
        <w:jc w:val="both"/>
        <w:rPr>
          <w:sz w:val="18"/>
        </w:rPr>
      </w:pPr>
      <w:r>
        <w:rPr>
          <w:color w:val="231F20"/>
          <w:sz w:val="18"/>
        </w:rPr>
        <w:t>Contemporary Management Research, 14(1), 1-17.</w:t>
      </w:r>
    </w:p>
    <w:p>
      <w:pPr>
        <w:spacing w:line="254" w:lineRule="auto" w:before="70"/>
        <w:ind w:left="819" w:right="249" w:hanging="567"/>
        <w:jc w:val="both"/>
        <w:rPr>
          <w:sz w:val="18"/>
        </w:rPr>
      </w:pPr>
      <w:r>
        <w:rPr>
          <w:color w:val="231F20"/>
          <w:sz w:val="18"/>
        </w:rPr>
        <w:t>Wan, H.L. &amp; Tan, N.N. (2021). Agile leadership and bootlegging behavior: Does leadership coping dynamics matter? In N. Ferreira, I.L. Potgieter &amp; Coetzee, M. (Eds.), Agile coping in the digital workplace (pp.187-202). Springer.</w:t>
      </w:r>
    </w:p>
    <w:p>
      <w:pPr>
        <w:spacing w:line="254" w:lineRule="auto" w:before="58"/>
        <w:ind w:left="819" w:right="247" w:hanging="567"/>
        <w:jc w:val="both"/>
        <w:rPr>
          <w:sz w:val="18"/>
        </w:rPr>
      </w:pPr>
      <w:r>
        <w:rPr>
          <w:color w:val="231F20"/>
          <w:sz w:val="18"/>
        </w:rPr>
        <w:t>Wooten, L.P. &amp; James, E.H. (2008). Linking crisis management and leadership competencies: The role of human resource development. Advances in Developing Human Resources, 10(3), 352-379. </w:t>
      </w:r>
      <w:hyperlink r:id="rId58">
        <w:r>
          <w:rPr>
            <w:color w:val="231F20"/>
            <w:sz w:val="18"/>
          </w:rPr>
          <w:t>https://doi.org/10.1177/1523422308316450</w:t>
        </w:r>
      </w:hyperlink>
      <w:r>
        <w:rPr>
          <w:color w:val="231F20"/>
          <w:sz w:val="18"/>
        </w:rPr>
        <w:t>.</w:t>
      </w:r>
    </w:p>
    <w:p>
      <w:pPr>
        <w:spacing w:line="254" w:lineRule="auto" w:before="59"/>
        <w:ind w:left="819" w:right="248" w:hanging="567"/>
        <w:jc w:val="both"/>
        <w:rPr>
          <w:sz w:val="18"/>
        </w:rPr>
      </w:pPr>
      <w:r>
        <w:rPr>
          <w:color w:val="231F20"/>
          <w:sz w:val="18"/>
        </w:rPr>
        <w:t>Worthington, R. L &amp; Whittaker, T. A. (2006). Scale development research: A content analysis and recommendations for best practices. The Counseling Psychologist, 34(6), 806-838.</w:t>
      </w:r>
    </w:p>
    <w:p>
      <w:pPr>
        <w:spacing w:before="58"/>
        <w:ind w:left="252" w:right="0" w:firstLine="0"/>
        <w:jc w:val="both"/>
        <w:rPr>
          <w:sz w:val="18"/>
        </w:rPr>
      </w:pPr>
      <w:r>
        <w:rPr>
          <w:color w:val="231F20"/>
          <w:sz w:val="18"/>
        </w:rPr>
        <w:t>Wouter, W. (2019). Surviving in a VUCA world. AFMA Matrix.</w:t>
      </w:r>
    </w:p>
    <w:p>
      <w:pPr>
        <w:spacing w:line="254" w:lineRule="auto" w:before="69"/>
        <w:ind w:left="819" w:right="252" w:hanging="567"/>
        <w:jc w:val="both"/>
        <w:rPr>
          <w:sz w:val="18"/>
        </w:rPr>
      </w:pPr>
      <w:r>
        <w:rPr>
          <w:color w:val="231F20"/>
          <w:sz w:val="18"/>
        </w:rPr>
        <w:t>Yaşlıoğlu, M.M. (2017). Sosyal bilimlerde faktör analizi ve geçerlilik: Keşfedici ve doğrulayıcı faktör analizlerinin kullanılması. İstanbul Üniversitesi İşletme Fakültesi Dergisi, 46, 74,-85.</w:t>
      </w:r>
    </w:p>
    <w:p>
      <w:pPr>
        <w:spacing w:line="254" w:lineRule="auto" w:before="58"/>
        <w:ind w:left="819" w:right="251" w:hanging="567"/>
        <w:jc w:val="both"/>
        <w:rPr>
          <w:sz w:val="18"/>
        </w:rPr>
      </w:pPr>
      <w:r>
        <w:rPr>
          <w:color w:val="231F20"/>
          <w:sz w:val="18"/>
        </w:rPr>
        <w:t>Yurdasever, E. (2019). Yöneticilerde yeni liderlik becerileri ile stres ilişkisi: KOMB (VUCA) ve öz yeterlilik etkileşimi (Doktora tezi). Karabük Üniversitesi, Sosyal Bilimler Enstitüsü.</w:t>
      </w:r>
    </w:p>
    <w:p>
      <w:pPr>
        <w:spacing w:line="254" w:lineRule="auto" w:before="58"/>
        <w:ind w:left="819" w:right="240" w:hanging="567"/>
        <w:jc w:val="both"/>
        <w:rPr>
          <w:sz w:val="18"/>
        </w:rPr>
      </w:pPr>
      <w:r>
        <w:rPr>
          <w:color w:val="231F20"/>
          <w:sz w:val="18"/>
        </w:rPr>
        <w:t>Zink, P. (2020, June 17). 15 key qualities that define an ‘agile’ leader. Forbes. </w:t>
      </w:r>
      <w:hyperlink r:id="rId59">
        <w:r>
          <w:rPr>
            <w:color w:val="231F20"/>
            <w:sz w:val="18"/>
          </w:rPr>
          <w:t>https://www.</w:t>
        </w:r>
      </w:hyperlink>
      <w:r>
        <w:rPr>
          <w:color w:val="231F20"/>
          <w:sz w:val="18"/>
        </w:rPr>
        <w:t> </w:t>
      </w:r>
      <w:hyperlink r:id="rId59">
        <w:r>
          <w:rPr>
            <w:color w:val="231F20"/>
            <w:sz w:val="18"/>
          </w:rPr>
          <w:t>forbes.com/sites/forbescoachescouncil/2020/06/17/15-key-qualities-that-define-an-agile-</w:t>
        </w:r>
      </w:hyperlink>
      <w:r>
        <w:rPr>
          <w:color w:val="231F20"/>
          <w:sz w:val="18"/>
        </w:rPr>
        <w:t> </w:t>
      </w:r>
      <w:hyperlink r:id="rId59">
        <w:r>
          <w:rPr>
            <w:color w:val="231F20"/>
            <w:sz w:val="18"/>
          </w:rPr>
          <w:t>leader/?sh=2314c4467f31 </w:t>
        </w:r>
      </w:hyperlink>
      <w:r>
        <w:rPr>
          <w:color w:val="231F20"/>
          <w:sz w:val="18"/>
        </w:rPr>
        <w:t>Erişim Tarihi: 10.02.2021</w:t>
      </w:r>
    </w:p>
    <w:p>
      <w:pPr>
        <w:spacing w:before="78"/>
        <w:ind w:left="252" w:right="0" w:firstLine="0"/>
        <w:jc w:val="both"/>
        <w:rPr>
          <w:sz w:val="18"/>
        </w:rPr>
      </w:pPr>
      <w:hyperlink r:id="rId60">
        <w:r>
          <w:rPr>
            <w:color w:val="231F20"/>
            <w:sz w:val="18"/>
          </w:rPr>
          <w:t>https://stat.utexas.edu/software-faqs/amos </w:t>
        </w:r>
      </w:hyperlink>
      <w:r>
        <w:rPr>
          <w:color w:val="231F20"/>
          <w:sz w:val="18"/>
        </w:rPr>
        <w:t>Erişim Tarihi: 10.07.2021</w:t>
      </w:r>
    </w:p>
    <w:p>
      <w:pPr>
        <w:spacing w:after="0"/>
        <w:jc w:val="both"/>
        <w:rPr>
          <w:sz w:val="18"/>
        </w:rPr>
        <w:sectPr>
          <w:pgSz w:w="9530" w:h="13610"/>
          <w:pgMar w:header="860" w:footer="344" w:top="1060" w:bottom="540" w:left="740" w:right="740"/>
        </w:sectPr>
      </w:pPr>
    </w:p>
    <w:p>
      <w:pPr>
        <w:pStyle w:val="BodyText"/>
      </w:pPr>
    </w:p>
    <w:p>
      <w:pPr>
        <w:pStyle w:val="BodyText"/>
        <w:spacing w:before="1"/>
      </w:pPr>
    </w:p>
    <w:p>
      <w:pPr>
        <w:pStyle w:val="Heading1"/>
        <w:spacing w:before="1"/>
        <w:ind w:left="2200" w:right="2200"/>
        <w:jc w:val="center"/>
      </w:pPr>
      <w:r>
        <w:rPr>
          <w:color w:val="034694"/>
        </w:rPr>
        <w:t>EXTENDED SUMMARY</w:t>
      </w:r>
    </w:p>
    <w:p>
      <w:pPr>
        <w:spacing w:before="123"/>
        <w:ind w:left="252" w:right="0" w:firstLine="0"/>
        <w:jc w:val="left"/>
        <w:rPr>
          <w:b/>
          <w:sz w:val="20"/>
        </w:rPr>
      </w:pPr>
      <w:r>
        <w:rPr>
          <w:b/>
          <w:color w:val="034694"/>
          <w:sz w:val="20"/>
        </w:rPr>
        <w:t>Research Questions &amp; Purpose</w:t>
      </w:r>
    </w:p>
    <w:p>
      <w:pPr>
        <w:pStyle w:val="BodyText"/>
        <w:spacing w:line="249" w:lineRule="auto" w:before="123"/>
        <w:ind w:left="252" w:right="248" w:firstLine="567"/>
        <w:jc w:val="both"/>
      </w:pPr>
      <w:r>
        <w:rPr>
          <w:color w:val="231F20"/>
        </w:rPr>
        <w:t>In today’s business environment that change is experienced rapidly and the future </w:t>
      </w:r>
      <w:r>
        <w:rPr>
          <w:color w:val="231F20"/>
          <w:spacing w:val="-7"/>
        </w:rPr>
        <w:t>is </w:t>
      </w:r>
      <w:r>
        <w:rPr>
          <w:color w:val="231F20"/>
        </w:rPr>
        <w:t>unpredictable</w:t>
      </w:r>
      <w:r>
        <w:rPr>
          <w:color w:val="231F20"/>
          <w:spacing w:val="-10"/>
        </w:rPr>
        <w:t> </w:t>
      </w:r>
      <w:r>
        <w:rPr>
          <w:color w:val="231F20"/>
        </w:rPr>
        <w:t>managers</w:t>
      </w:r>
      <w:r>
        <w:rPr>
          <w:color w:val="231F20"/>
          <w:spacing w:val="-9"/>
        </w:rPr>
        <w:t> </w:t>
      </w:r>
      <w:r>
        <w:rPr>
          <w:color w:val="231F20"/>
        </w:rPr>
        <w:t>need</w:t>
      </w:r>
      <w:r>
        <w:rPr>
          <w:color w:val="231F20"/>
          <w:spacing w:val="-9"/>
        </w:rPr>
        <w:t> </w:t>
      </w:r>
      <w:r>
        <w:rPr>
          <w:color w:val="231F20"/>
        </w:rPr>
        <w:t>new</w:t>
      </w:r>
      <w:r>
        <w:rPr>
          <w:color w:val="231F20"/>
          <w:spacing w:val="-9"/>
        </w:rPr>
        <w:t> </w:t>
      </w:r>
      <w:r>
        <w:rPr>
          <w:color w:val="231F20"/>
        </w:rPr>
        <w:t>skills,</w:t>
      </w:r>
      <w:r>
        <w:rPr>
          <w:color w:val="231F20"/>
          <w:spacing w:val="-9"/>
        </w:rPr>
        <w:t> </w:t>
      </w:r>
      <w:r>
        <w:rPr>
          <w:color w:val="231F20"/>
        </w:rPr>
        <w:t>approaches</w:t>
      </w:r>
      <w:r>
        <w:rPr>
          <w:color w:val="231F20"/>
          <w:spacing w:val="-9"/>
        </w:rPr>
        <w:t> </w:t>
      </w:r>
      <w:r>
        <w:rPr>
          <w:color w:val="231F20"/>
        </w:rPr>
        <w:t>and</w:t>
      </w:r>
      <w:r>
        <w:rPr>
          <w:color w:val="231F20"/>
          <w:spacing w:val="-9"/>
        </w:rPr>
        <w:t> </w:t>
      </w:r>
      <w:r>
        <w:rPr>
          <w:color w:val="231F20"/>
        </w:rPr>
        <w:t>behaviors</w:t>
      </w:r>
      <w:r>
        <w:rPr>
          <w:color w:val="231F20"/>
          <w:spacing w:val="-9"/>
        </w:rPr>
        <w:t> </w:t>
      </w:r>
      <w:r>
        <w:rPr>
          <w:color w:val="231F20"/>
        </w:rPr>
        <w:t>to</w:t>
      </w:r>
      <w:r>
        <w:rPr>
          <w:color w:val="231F20"/>
          <w:spacing w:val="-9"/>
        </w:rPr>
        <w:t> </w:t>
      </w:r>
      <w:r>
        <w:rPr>
          <w:color w:val="231F20"/>
        </w:rPr>
        <w:t>survive.</w:t>
      </w:r>
      <w:r>
        <w:rPr>
          <w:color w:val="231F20"/>
          <w:spacing w:val="-10"/>
        </w:rPr>
        <w:t> </w:t>
      </w:r>
      <w:r>
        <w:rPr>
          <w:color w:val="231F20"/>
        </w:rPr>
        <w:t>In</w:t>
      </w:r>
      <w:r>
        <w:rPr>
          <w:color w:val="231F20"/>
          <w:spacing w:val="-9"/>
        </w:rPr>
        <w:t> </w:t>
      </w:r>
      <w:r>
        <w:rPr>
          <w:color w:val="231F20"/>
        </w:rPr>
        <w:t>these</w:t>
      </w:r>
      <w:r>
        <w:rPr>
          <w:color w:val="231F20"/>
          <w:spacing w:val="-9"/>
        </w:rPr>
        <w:t> </w:t>
      </w:r>
      <w:r>
        <w:rPr>
          <w:color w:val="231F20"/>
        </w:rPr>
        <w:t>uncerta- in</w:t>
      </w:r>
      <w:r>
        <w:rPr>
          <w:color w:val="231F20"/>
          <w:spacing w:val="-8"/>
        </w:rPr>
        <w:t> </w:t>
      </w:r>
      <w:r>
        <w:rPr>
          <w:color w:val="231F20"/>
        </w:rPr>
        <w:t>and</w:t>
      </w:r>
      <w:r>
        <w:rPr>
          <w:color w:val="231F20"/>
          <w:spacing w:val="-8"/>
        </w:rPr>
        <w:t> </w:t>
      </w:r>
      <w:r>
        <w:rPr>
          <w:color w:val="231F20"/>
        </w:rPr>
        <w:t>complex</w:t>
      </w:r>
      <w:r>
        <w:rPr>
          <w:color w:val="231F20"/>
          <w:spacing w:val="-8"/>
        </w:rPr>
        <w:t> </w:t>
      </w:r>
      <w:r>
        <w:rPr>
          <w:color w:val="231F20"/>
        </w:rPr>
        <w:t>VUCA</w:t>
      </w:r>
      <w:r>
        <w:rPr>
          <w:color w:val="231F20"/>
          <w:spacing w:val="-8"/>
        </w:rPr>
        <w:t> </w:t>
      </w:r>
      <w:r>
        <w:rPr>
          <w:color w:val="231F20"/>
        </w:rPr>
        <w:t>environments</w:t>
      </w:r>
      <w:r>
        <w:rPr>
          <w:color w:val="231F20"/>
          <w:spacing w:val="-7"/>
        </w:rPr>
        <w:t> </w:t>
      </w:r>
      <w:r>
        <w:rPr>
          <w:color w:val="231F20"/>
        </w:rPr>
        <w:t>where</w:t>
      </w:r>
      <w:r>
        <w:rPr>
          <w:color w:val="231F20"/>
          <w:spacing w:val="-9"/>
        </w:rPr>
        <w:t> </w:t>
      </w:r>
      <w:r>
        <w:rPr>
          <w:color w:val="231F20"/>
        </w:rPr>
        <w:t>nothing</w:t>
      </w:r>
      <w:r>
        <w:rPr>
          <w:color w:val="231F20"/>
          <w:spacing w:val="-9"/>
        </w:rPr>
        <w:t> </w:t>
      </w:r>
      <w:r>
        <w:rPr>
          <w:color w:val="231F20"/>
        </w:rPr>
        <w:t>is</w:t>
      </w:r>
      <w:r>
        <w:rPr>
          <w:color w:val="231F20"/>
          <w:spacing w:val="-7"/>
        </w:rPr>
        <w:t> </w:t>
      </w:r>
      <w:r>
        <w:rPr>
          <w:color w:val="231F20"/>
        </w:rPr>
        <w:t>clear</w:t>
      </w:r>
      <w:r>
        <w:rPr>
          <w:color w:val="231F20"/>
          <w:spacing w:val="-9"/>
        </w:rPr>
        <w:t> </w:t>
      </w:r>
      <w:r>
        <w:rPr>
          <w:color w:val="231F20"/>
        </w:rPr>
        <w:t>and</w:t>
      </w:r>
      <w:r>
        <w:rPr>
          <w:color w:val="231F20"/>
          <w:spacing w:val="-7"/>
        </w:rPr>
        <w:t> </w:t>
      </w:r>
      <w:r>
        <w:rPr>
          <w:color w:val="231F20"/>
        </w:rPr>
        <w:t>change</w:t>
      </w:r>
      <w:r>
        <w:rPr>
          <w:color w:val="231F20"/>
          <w:spacing w:val="-9"/>
        </w:rPr>
        <w:t> </w:t>
      </w:r>
      <w:r>
        <w:rPr>
          <w:color w:val="231F20"/>
        </w:rPr>
        <w:t>is</w:t>
      </w:r>
      <w:r>
        <w:rPr>
          <w:color w:val="231F20"/>
          <w:spacing w:val="-8"/>
        </w:rPr>
        <w:t> </w:t>
      </w:r>
      <w:r>
        <w:rPr>
          <w:color w:val="231F20"/>
        </w:rPr>
        <w:t>constant,</w:t>
      </w:r>
      <w:r>
        <w:rPr>
          <w:color w:val="231F20"/>
          <w:spacing w:val="-8"/>
        </w:rPr>
        <w:t> </w:t>
      </w:r>
      <w:r>
        <w:rPr>
          <w:color w:val="231F20"/>
        </w:rPr>
        <w:t>facilitating and adaptive leadership skills are needed to ensure</w:t>
      </w:r>
      <w:r>
        <w:rPr>
          <w:color w:val="231F20"/>
          <w:spacing w:val="-3"/>
        </w:rPr>
        <w:t> </w:t>
      </w:r>
      <w:r>
        <w:rPr>
          <w:color w:val="231F20"/>
        </w:rPr>
        <w:t>success.</w:t>
      </w:r>
    </w:p>
    <w:p>
      <w:pPr>
        <w:pStyle w:val="BodyText"/>
        <w:spacing w:line="249" w:lineRule="auto" w:before="117"/>
        <w:ind w:left="252" w:right="247" w:firstLine="567"/>
        <w:jc w:val="both"/>
      </w:pPr>
      <w:r>
        <w:rPr>
          <w:color w:val="231F20"/>
        </w:rPr>
        <w:t>For managing the uncertain, volatile, complex and ambiguous in the VUCA world, it must be defined the managerial environment of VUCA, and developed a measurement tool to measure the perceptual effects of agile leadership is one of the new managerial competencies suitable for this environment, on the employee. In this study, it was aimed to develop a mea- surement tool for determining agile leadership skill perception. It was researched the effect of VUCA perception on agile leadership skill perception.</w:t>
      </w:r>
    </w:p>
    <w:p>
      <w:pPr>
        <w:pStyle w:val="BodyText"/>
        <w:spacing w:before="2"/>
      </w:pPr>
    </w:p>
    <w:p>
      <w:pPr>
        <w:pStyle w:val="Heading1"/>
      </w:pPr>
      <w:r>
        <w:rPr>
          <w:color w:val="034694"/>
        </w:rPr>
        <w:t>Literature Review</w:t>
      </w:r>
    </w:p>
    <w:p>
      <w:pPr>
        <w:pStyle w:val="BodyText"/>
        <w:spacing w:line="249" w:lineRule="auto" w:before="123"/>
        <w:ind w:left="252" w:right="249" w:firstLine="567"/>
        <w:jc w:val="both"/>
      </w:pPr>
      <w:r>
        <w:rPr>
          <w:color w:val="231F20"/>
        </w:rPr>
        <w:t>Johnson &amp; Veldsman (2017) suggested skill sets that will be important for future lea- dership. According to this study, agility was the first as an important skill set in leadership in the</w:t>
      </w:r>
      <w:r>
        <w:rPr>
          <w:color w:val="231F20"/>
          <w:spacing w:val="-9"/>
        </w:rPr>
        <w:t> </w:t>
      </w:r>
      <w:r>
        <w:rPr>
          <w:color w:val="231F20"/>
        </w:rPr>
        <w:t>world.</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research</w:t>
      </w:r>
      <w:r>
        <w:rPr>
          <w:color w:val="231F20"/>
          <w:spacing w:val="-9"/>
        </w:rPr>
        <w:t> </w:t>
      </w:r>
      <w:r>
        <w:rPr>
          <w:color w:val="231F20"/>
        </w:rPr>
        <w:t>of</w:t>
      </w:r>
      <w:r>
        <w:rPr>
          <w:color w:val="231F20"/>
          <w:spacing w:val="-9"/>
        </w:rPr>
        <w:t> </w:t>
      </w:r>
      <w:r>
        <w:rPr>
          <w:color w:val="231F20"/>
        </w:rPr>
        <w:t>Saleh</w:t>
      </w:r>
      <w:r>
        <w:rPr>
          <w:color w:val="231F20"/>
          <w:spacing w:val="-9"/>
        </w:rPr>
        <w:t> </w:t>
      </w:r>
      <w:r>
        <w:rPr>
          <w:color w:val="231F20"/>
        </w:rPr>
        <w:t>&amp;</w:t>
      </w:r>
      <w:r>
        <w:rPr>
          <w:color w:val="231F20"/>
          <w:spacing w:val="-9"/>
        </w:rPr>
        <w:t> </w:t>
      </w:r>
      <w:r>
        <w:rPr>
          <w:color w:val="231F20"/>
        </w:rPr>
        <w:t>Watson</w:t>
      </w:r>
      <w:r>
        <w:rPr>
          <w:color w:val="231F20"/>
          <w:spacing w:val="-9"/>
        </w:rPr>
        <w:t> </w:t>
      </w:r>
      <w:r>
        <w:rPr>
          <w:color w:val="231F20"/>
        </w:rPr>
        <w:t>(2017),</w:t>
      </w:r>
      <w:r>
        <w:rPr>
          <w:color w:val="231F20"/>
          <w:spacing w:val="-8"/>
        </w:rPr>
        <w:t> </w:t>
      </w:r>
      <w:r>
        <w:rPr>
          <w:color w:val="231F20"/>
        </w:rPr>
        <w:t>agile</w:t>
      </w:r>
      <w:r>
        <w:rPr>
          <w:color w:val="231F20"/>
          <w:spacing w:val="-9"/>
        </w:rPr>
        <w:t> </w:t>
      </w:r>
      <w:r>
        <w:rPr>
          <w:color w:val="231F20"/>
        </w:rPr>
        <w:t>leadership</w:t>
      </w:r>
      <w:r>
        <w:rPr>
          <w:color w:val="231F20"/>
          <w:spacing w:val="-9"/>
        </w:rPr>
        <w:t> </w:t>
      </w:r>
      <w:r>
        <w:rPr>
          <w:color w:val="231F20"/>
        </w:rPr>
        <w:t>was</w:t>
      </w:r>
      <w:r>
        <w:rPr>
          <w:color w:val="231F20"/>
          <w:spacing w:val="-9"/>
        </w:rPr>
        <w:t> </w:t>
      </w:r>
      <w:r>
        <w:rPr>
          <w:color w:val="231F20"/>
        </w:rPr>
        <w:t>determined</w:t>
      </w:r>
      <w:r>
        <w:rPr>
          <w:color w:val="231F20"/>
          <w:spacing w:val="-9"/>
        </w:rPr>
        <w:t> </w:t>
      </w:r>
      <w:r>
        <w:rPr>
          <w:color w:val="231F20"/>
        </w:rPr>
        <w:t>as</w:t>
      </w:r>
      <w:r>
        <w:rPr>
          <w:color w:val="231F20"/>
          <w:spacing w:val="-9"/>
        </w:rPr>
        <w:t> </w:t>
      </w:r>
      <w:r>
        <w:rPr>
          <w:color w:val="231F20"/>
        </w:rPr>
        <w:t>a</w:t>
      </w:r>
      <w:r>
        <w:rPr>
          <w:color w:val="231F20"/>
          <w:spacing w:val="-9"/>
        </w:rPr>
        <w:t> </w:t>
      </w:r>
      <w:r>
        <w:rPr>
          <w:color w:val="231F20"/>
        </w:rPr>
        <w:t>criti- cal</w:t>
      </w:r>
      <w:r>
        <w:rPr>
          <w:color w:val="231F20"/>
          <w:spacing w:val="-9"/>
        </w:rPr>
        <w:t> </w:t>
      </w:r>
      <w:r>
        <w:rPr>
          <w:color w:val="231F20"/>
        </w:rPr>
        <w:t>success</w:t>
      </w:r>
      <w:r>
        <w:rPr>
          <w:color w:val="231F20"/>
          <w:spacing w:val="-8"/>
        </w:rPr>
        <w:t> </w:t>
      </w:r>
      <w:r>
        <w:rPr>
          <w:color w:val="231F20"/>
        </w:rPr>
        <w:t>factor</w:t>
      </w:r>
      <w:r>
        <w:rPr>
          <w:color w:val="231F20"/>
          <w:spacing w:val="-8"/>
        </w:rPr>
        <w:t> </w:t>
      </w:r>
      <w:r>
        <w:rPr>
          <w:color w:val="231F20"/>
        </w:rPr>
        <w:t>to</w:t>
      </w:r>
      <w:r>
        <w:rPr>
          <w:color w:val="231F20"/>
          <w:spacing w:val="-8"/>
        </w:rPr>
        <w:t> </w:t>
      </w:r>
      <w:r>
        <w:rPr>
          <w:color w:val="231F20"/>
        </w:rPr>
        <w:t>achieve</w:t>
      </w:r>
      <w:r>
        <w:rPr>
          <w:color w:val="231F20"/>
          <w:spacing w:val="-9"/>
        </w:rPr>
        <w:t> </w:t>
      </w:r>
      <w:r>
        <w:rPr>
          <w:color w:val="231F20"/>
        </w:rPr>
        <w:t>business</w:t>
      </w:r>
      <w:r>
        <w:rPr>
          <w:color w:val="231F20"/>
          <w:spacing w:val="-8"/>
        </w:rPr>
        <w:t> </w:t>
      </w:r>
      <w:r>
        <w:rPr>
          <w:color w:val="231F20"/>
        </w:rPr>
        <w:t>excellence</w:t>
      </w:r>
      <w:r>
        <w:rPr>
          <w:color w:val="231F20"/>
          <w:spacing w:val="-9"/>
        </w:rPr>
        <w:t> </w:t>
      </w:r>
      <w:r>
        <w:rPr>
          <w:color w:val="231F20"/>
        </w:rPr>
        <w:t>in</w:t>
      </w:r>
      <w:r>
        <w:rPr>
          <w:color w:val="231F20"/>
          <w:spacing w:val="-8"/>
        </w:rPr>
        <w:t> </w:t>
      </w:r>
      <w:r>
        <w:rPr>
          <w:color w:val="231F20"/>
        </w:rPr>
        <w:t>the</w:t>
      </w:r>
      <w:r>
        <w:rPr>
          <w:color w:val="231F20"/>
          <w:spacing w:val="-8"/>
        </w:rPr>
        <w:t> </w:t>
      </w:r>
      <w:r>
        <w:rPr>
          <w:color w:val="231F20"/>
        </w:rPr>
        <w:t>VUCA</w:t>
      </w:r>
      <w:r>
        <w:rPr>
          <w:color w:val="231F20"/>
          <w:spacing w:val="-8"/>
        </w:rPr>
        <w:t> </w:t>
      </w:r>
      <w:r>
        <w:rPr>
          <w:color w:val="231F20"/>
        </w:rPr>
        <w:t>environment.</w:t>
      </w:r>
      <w:r>
        <w:rPr>
          <w:color w:val="231F20"/>
          <w:spacing w:val="-9"/>
        </w:rPr>
        <w:t> </w:t>
      </w:r>
      <w:r>
        <w:rPr>
          <w:color w:val="231F20"/>
        </w:rPr>
        <w:t>Petry</w:t>
      </w:r>
      <w:r>
        <w:rPr>
          <w:color w:val="231F20"/>
          <w:spacing w:val="-9"/>
        </w:rPr>
        <w:t> </w:t>
      </w:r>
      <w:r>
        <w:rPr>
          <w:color w:val="231F20"/>
        </w:rPr>
        <w:t>(2018)</w:t>
      </w:r>
      <w:r>
        <w:rPr>
          <w:color w:val="231F20"/>
          <w:spacing w:val="-8"/>
        </w:rPr>
        <w:t> </w:t>
      </w:r>
      <w:r>
        <w:rPr>
          <w:color w:val="231F20"/>
        </w:rPr>
        <w:t>reve- aled with his study, agile leadership as a leadership style needed in the VUCA</w:t>
      </w:r>
      <w:r>
        <w:rPr>
          <w:color w:val="231F20"/>
          <w:spacing w:val="-16"/>
        </w:rPr>
        <w:t> </w:t>
      </w:r>
      <w:r>
        <w:rPr>
          <w:color w:val="231F20"/>
        </w:rPr>
        <w:t>environment.</w:t>
      </w:r>
    </w:p>
    <w:p>
      <w:pPr>
        <w:pStyle w:val="BodyText"/>
        <w:spacing w:line="249" w:lineRule="auto" w:before="118"/>
        <w:ind w:left="252" w:right="248" w:firstLine="567"/>
        <w:jc w:val="both"/>
      </w:pPr>
      <w:r>
        <w:rPr>
          <w:color w:val="231F20"/>
        </w:rPr>
        <w:t>The majority of researches on leadership structures in volatile and uncertain environ- ments emphasizes agile leadership, it’s skills and perception (Bushuyeva et al., 2019; Abbasi &amp; Ruf, 2020; Wan &amp; Tan, 2021; Chen et al., 2022). Akkaya et al. (2020) developed a scale to measure agile leadership approaches and behaviors. Also, Özdemir &amp; Çetin (2019) developed a</w:t>
      </w:r>
      <w:r>
        <w:rPr>
          <w:color w:val="231F20"/>
          <w:spacing w:val="-12"/>
        </w:rPr>
        <w:t> </w:t>
      </w:r>
      <w:r>
        <w:rPr>
          <w:color w:val="231F20"/>
        </w:rPr>
        <w:t>scale</w:t>
      </w:r>
      <w:r>
        <w:rPr>
          <w:color w:val="231F20"/>
          <w:spacing w:val="-11"/>
        </w:rPr>
        <w:t> </w:t>
      </w:r>
      <w:r>
        <w:rPr>
          <w:color w:val="231F20"/>
        </w:rPr>
        <w:t>to</w:t>
      </w:r>
      <w:r>
        <w:rPr>
          <w:color w:val="231F20"/>
          <w:spacing w:val="-11"/>
        </w:rPr>
        <w:t> </w:t>
      </w:r>
      <w:r>
        <w:rPr>
          <w:color w:val="231F20"/>
        </w:rPr>
        <w:t>determine</w:t>
      </w:r>
      <w:r>
        <w:rPr>
          <w:color w:val="231F20"/>
          <w:spacing w:val="-11"/>
        </w:rPr>
        <w:t> </w:t>
      </w:r>
      <w:r>
        <w:rPr>
          <w:color w:val="231F20"/>
        </w:rPr>
        <w:t>the</w:t>
      </w:r>
      <w:r>
        <w:rPr>
          <w:color w:val="231F20"/>
          <w:spacing w:val="-11"/>
        </w:rPr>
        <w:t> </w:t>
      </w:r>
      <w:r>
        <w:rPr>
          <w:color w:val="231F20"/>
        </w:rPr>
        <w:t>agile</w:t>
      </w:r>
      <w:r>
        <w:rPr>
          <w:color w:val="231F20"/>
          <w:spacing w:val="-11"/>
        </w:rPr>
        <w:t> </w:t>
      </w:r>
      <w:r>
        <w:rPr>
          <w:color w:val="231F20"/>
        </w:rPr>
        <w:t>leadership</w:t>
      </w:r>
      <w:r>
        <w:rPr>
          <w:color w:val="231F20"/>
          <w:spacing w:val="-11"/>
        </w:rPr>
        <w:t> </w:t>
      </w:r>
      <w:r>
        <w:rPr>
          <w:color w:val="231F20"/>
        </w:rPr>
        <w:t>characteristics</w:t>
      </w:r>
      <w:r>
        <w:rPr>
          <w:color w:val="231F20"/>
          <w:spacing w:val="-11"/>
        </w:rPr>
        <w:t> </w:t>
      </w:r>
      <w:r>
        <w:rPr>
          <w:color w:val="231F20"/>
        </w:rPr>
        <w:t>of</w:t>
      </w:r>
      <w:r>
        <w:rPr>
          <w:color w:val="231F20"/>
          <w:spacing w:val="-11"/>
        </w:rPr>
        <w:t> </w:t>
      </w:r>
      <w:r>
        <w:rPr>
          <w:color w:val="231F20"/>
        </w:rPr>
        <w:t>school</w:t>
      </w:r>
      <w:r>
        <w:rPr>
          <w:color w:val="231F20"/>
          <w:spacing w:val="-11"/>
        </w:rPr>
        <w:t> </w:t>
      </w:r>
      <w:r>
        <w:rPr>
          <w:color w:val="231F20"/>
        </w:rPr>
        <w:t>administrators.</w:t>
      </w:r>
      <w:r>
        <w:rPr>
          <w:color w:val="231F20"/>
          <w:spacing w:val="-11"/>
        </w:rPr>
        <w:t> </w:t>
      </w:r>
      <w:r>
        <w:rPr>
          <w:color w:val="231F20"/>
        </w:rPr>
        <w:t>In</w:t>
      </w:r>
      <w:r>
        <w:rPr>
          <w:color w:val="231F20"/>
          <w:spacing w:val="-11"/>
        </w:rPr>
        <w:t> </w:t>
      </w:r>
      <w:r>
        <w:rPr>
          <w:color w:val="231F20"/>
        </w:rPr>
        <w:t>this</w:t>
      </w:r>
      <w:r>
        <w:rPr>
          <w:color w:val="231F20"/>
          <w:spacing w:val="-12"/>
        </w:rPr>
        <w:t> </w:t>
      </w:r>
      <w:r>
        <w:rPr>
          <w:color w:val="231F20"/>
        </w:rPr>
        <w:t>study,</w:t>
      </w:r>
      <w:r>
        <w:rPr>
          <w:color w:val="231F20"/>
          <w:spacing w:val="-11"/>
        </w:rPr>
        <w:t> </w:t>
      </w:r>
      <w:r>
        <w:rPr>
          <w:color w:val="231F20"/>
        </w:rPr>
        <w:t>it was</w:t>
      </w:r>
      <w:r>
        <w:rPr>
          <w:color w:val="231F20"/>
          <w:spacing w:val="-4"/>
        </w:rPr>
        <w:t> </w:t>
      </w:r>
      <w:r>
        <w:rPr>
          <w:color w:val="231F20"/>
        </w:rPr>
        <w:t>developed</w:t>
      </w:r>
      <w:r>
        <w:rPr>
          <w:color w:val="231F20"/>
          <w:spacing w:val="-4"/>
        </w:rPr>
        <w:t> </w:t>
      </w:r>
      <w:r>
        <w:rPr>
          <w:color w:val="231F20"/>
        </w:rPr>
        <w:t>a</w:t>
      </w:r>
      <w:r>
        <w:rPr>
          <w:color w:val="231F20"/>
          <w:spacing w:val="-4"/>
        </w:rPr>
        <w:t> </w:t>
      </w:r>
      <w:r>
        <w:rPr>
          <w:color w:val="231F20"/>
        </w:rPr>
        <w:t>scale</w:t>
      </w:r>
      <w:r>
        <w:rPr>
          <w:color w:val="231F20"/>
          <w:spacing w:val="-4"/>
        </w:rPr>
        <w:t> </w:t>
      </w:r>
      <w:r>
        <w:rPr>
          <w:color w:val="231F20"/>
        </w:rPr>
        <w:t>to</w:t>
      </w:r>
      <w:r>
        <w:rPr>
          <w:color w:val="231F20"/>
          <w:spacing w:val="-4"/>
        </w:rPr>
        <w:t> </w:t>
      </w:r>
      <w:r>
        <w:rPr>
          <w:color w:val="231F20"/>
        </w:rPr>
        <w:t>measure</w:t>
      </w:r>
      <w:r>
        <w:rPr>
          <w:color w:val="231F20"/>
          <w:spacing w:val="-3"/>
        </w:rPr>
        <w:t> </w:t>
      </w:r>
      <w:r>
        <w:rPr>
          <w:color w:val="231F20"/>
        </w:rPr>
        <w:t>agile</w:t>
      </w:r>
      <w:r>
        <w:rPr>
          <w:color w:val="231F20"/>
          <w:spacing w:val="-4"/>
        </w:rPr>
        <w:t> </w:t>
      </w:r>
      <w:r>
        <w:rPr>
          <w:color w:val="231F20"/>
        </w:rPr>
        <w:t>leadership</w:t>
      </w:r>
      <w:r>
        <w:rPr>
          <w:color w:val="231F20"/>
          <w:spacing w:val="-4"/>
        </w:rPr>
        <w:t> </w:t>
      </w:r>
      <w:r>
        <w:rPr>
          <w:color w:val="231F20"/>
        </w:rPr>
        <w:t>skills</w:t>
      </w:r>
      <w:r>
        <w:rPr>
          <w:color w:val="231F20"/>
          <w:spacing w:val="-4"/>
        </w:rPr>
        <w:t> </w:t>
      </w:r>
      <w:r>
        <w:rPr>
          <w:color w:val="231F20"/>
        </w:rPr>
        <w:t>perception.</w:t>
      </w:r>
      <w:r>
        <w:rPr>
          <w:color w:val="231F20"/>
          <w:spacing w:val="-4"/>
        </w:rPr>
        <w:t> </w:t>
      </w:r>
      <w:r>
        <w:rPr>
          <w:color w:val="231F20"/>
        </w:rPr>
        <w:t>In</w:t>
      </w:r>
      <w:r>
        <w:rPr>
          <w:color w:val="231F20"/>
          <w:spacing w:val="-3"/>
        </w:rPr>
        <w:t> </w:t>
      </w:r>
      <w:r>
        <w:rPr>
          <w:color w:val="231F20"/>
        </w:rPr>
        <w:t>addition,</w:t>
      </w:r>
      <w:r>
        <w:rPr>
          <w:color w:val="231F20"/>
          <w:spacing w:val="-4"/>
        </w:rPr>
        <w:t> </w:t>
      </w:r>
      <w:r>
        <w:rPr>
          <w:color w:val="231F20"/>
        </w:rPr>
        <w:t>different</w:t>
      </w:r>
      <w:r>
        <w:rPr>
          <w:color w:val="231F20"/>
          <w:spacing w:val="-4"/>
        </w:rPr>
        <w:t> </w:t>
      </w:r>
      <w:r>
        <w:rPr>
          <w:color w:val="231F20"/>
        </w:rPr>
        <w:t>from the</w:t>
      </w:r>
      <w:r>
        <w:rPr>
          <w:color w:val="231F20"/>
          <w:spacing w:val="-8"/>
        </w:rPr>
        <w:t> </w:t>
      </w:r>
      <w:r>
        <w:rPr>
          <w:color w:val="231F20"/>
        </w:rPr>
        <w:t>studies</w:t>
      </w:r>
      <w:r>
        <w:rPr>
          <w:color w:val="231F20"/>
          <w:spacing w:val="-8"/>
        </w:rPr>
        <w:t> </w:t>
      </w:r>
      <w:r>
        <w:rPr>
          <w:color w:val="231F20"/>
        </w:rPr>
        <w:t>in</w:t>
      </w:r>
      <w:r>
        <w:rPr>
          <w:color w:val="231F20"/>
          <w:spacing w:val="-8"/>
        </w:rPr>
        <w:t> </w:t>
      </w:r>
      <w:r>
        <w:rPr>
          <w:color w:val="231F20"/>
        </w:rPr>
        <w:t>the</w:t>
      </w:r>
      <w:r>
        <w:rPr>
          <w:color w:val="231F20"/>
          <w:spacing w:val="-7"/>
        </w:rPr>
        <w:t> </w:t>
      </w:r>
      <w:r>
        <w:rPr>
          <w:color w:val="231F20"/>
        </w:rPr>
        <w:t>literature</w:t>
      </w:r>
      <w:r>
        <w:rPr>
          <w:color w:val="231F20"/>
          <w:spacing w:val="-8"/>
        </w:rPr>
        <w:t> </w:t>
      </w:r>
      <w:r>
        <w:rPr>
          <w:color w:val="231F20"/>
        </w:rPr>
        <w:t>it</w:t>
      </w:r>
      <w:r>
        <w:rPr>
          <w:color w:val="231F20"/>
          <w:spacing w:val="-8"/>
        </w:rPr>
        <w:t> </w:t>
      </w:r>
      <w:r>
        <w:rPr>
          <w:color w:val="231F20"/>
        </w:rPr>
        <w:t>was</w:t>
      </w:r>
      <w:r>
        <w:rPr>
          <w:color w:val="231F20"/>
          <w:spacing w:val="-7"/>
        </w:rPr>
        <w:t> </w:t>
      </w:r>
      <w:r>
        <w:rPr>
          <w:color w:val="231F20"/>
        </w:rPr>
        <w:t>researched</w:t>
      </w:r>
      <w:r>
        <w:rPr>
          <w:color w:val="231F20"/>
          <w:spacing w:val="-8"/>
        </w:rPr>
        <w:t> </w:t>
      </w:r>
      <w:r>
        <w:rPr>
          <w:color w:val="231F20"/>
        </w:rPr>
        <w:t>the</w:t>
      </w:r>
      <w:r>
        <w:rPr>
          <w:color w:val="231F20"/>
          <w:spacing w:val="-8"/>
        </w:rPr>
        <w:t> </w:t>
      </w:r>
      <w:r>
        <w:rPr>
          <w:color w:val="231F20"/>
        </w:rPr>
        <w:t>effect</w:t>
      </w:r>
      <w:r>
        <w:rPr>
          <w:color w:val="231F20"/>
          <w:spacing w:val="-7"/>
        </w:rPr>
        <w:t> </w:t>
      </w:r>
      <w:r>
        <w:rPr>
          <w:color w:val="231F20"/>
        </w:rPr>
        <w:t>of</w:t>
      </w:r>
      <w:r>
        <w:rPr>
          <w:color w:val="231F20"/>
          <w:spacing w:val="-8"/>
        </w:rPr>
        <w:t> </w:t>
      </w:r>
      <w:r>
        <w:rPr>
          <w:color w:val="231F20"/>
        </w:rPr>
        <w:t>VUCA</w:t>
      </w:r>
      <w:r>
        <w:rPr>
          <w:color w:val="231F20"/>
          <w:spacing w:val="-8"/>
        </w:rPr>
        <w:t> </w:t>
      </w:r>
      <w:r>
        <w:rPr>
          <w:color w:val="231F20"/>
        </w:rPr>
        <w:t>perception</w:t>
      </w:r>
      <w:r>
        <w:rPr>
          <w:color w:val="231F20"/>
          <w:spacing w:val="-8"/>
        </w:rPr>
        <w:t> </w:t>
      </w:r>
      <w:r>
        <w:rPr>
          <w:color w:val="231F20"/>
        </w:rPr>
        <w:t>on</w:t>
      </w:r>
      <w:r>
        <w:rPr>
          <w:color w:val="231F20"/>
          <w:spacing w:val="-7"/>
        </w:rPr>
        <w:t> </w:t>
      </w:r>
      <w:r>
        <w:rPr>
          <w:color w:val="231F20"/>
        </w:rPr>
        <w:t>agile</w:t>
      </w:r>
      <w:r>
        <w:rPr>
          <w:color w:val="231F20"/>
          <w:spacing w:val="-8"/>
        </w:rPr>
        <w:t> </w:t>
      </w:r>
      <w:r>
        <w:rPr>
          <w:color w:val="231F20"/>
        </w:rPr>
        <w:t>leadership skill perception</w:t>
      </w:r>
      <w:r>
        <w:rPr>
          <w:color w:val="231F20"/>
          <w:spacing w:val="-2"/>
        </w:rPr>
        <w:t> </w:t>
      </w:r>
      <w:r>
        <w:rPr>
          <w:color w:val="231F20"/>
        </w:rPr>
        <w:t>quantitatively.</w:t>
      </w:r>
    </w:p>
    <w:p>
      <w:pPr>
        <w:pStyle w:val="BodyText"/>
        <w:spacing w:before="3"/>
      </w:pPr>
    </w:p>
    <w:p>
      <w:pPr>
        <w:pStyle w:val="Heading1"/>
      </w:pPr>
      <w:r>
        <w:rPr>
          <w:color w:val="034694"/>
        </w:rPr>
        <w:t>Methodology</w:t>
      </w:r>
    </w:p>
    <w:p>
      <w:pPr>
        <w:pStyle w:val="BodyText"/>
        <w:spacing w:line="249" w:lineRule="auto" w:before="124"/>
        <w:ind w:left="252" w:right="249" w:firstLine="567"/>
        <w:jc w:val="both"/>
      </w:pPr>
      <w:r>
        <w:rPr>
          <w:color w:val="231F20"/>
        </w:rPr>
        <w:t>The</w:t>
      </w:r>
      <w:r>
        <w:rPr>
          <w:color w:val="231F20"/>
          <w:spacing w:val="-10"/>
        </w:rPr>
        <w:t> </w:t>
      </w:r>
      <w:r>
        <w:rPr>
          <w:color w:val="231F20"/>
        </w:rPr>
        <w:t>exploratory</w:t>
      </w:r>
      <w:r>
        <w:rPr>
          <w:color w:val="231F20"/>
          <w:spacing w:val="-10"/>
        </w:rPr>
        <w:t> </w:t>
      </w:r>
      <w:r>
        <w:rPr>
          <w:color w:val="231F20"/>
        </w:rPr>
        <w:t>sequential</w:t>
      </w:r>
      <w:r>
        <w:rPr>
          <w:color w:val="231F20"/>
          <w:spacing w:val="-11"/>
        </w:rPr>
        <w:t> </w:t>
      </w:r>
      <w:r>
        <w:rPr>
          <w:color w:val="231F20"/>
        </w:rPr>
        <w:t>mixed</w:t>
      </w:r>
      <w:r>
        <w:rPr>
          <w:color w:val="231F20"/>
          <w:spacing w:val="-10"/>
        </w:rPr>
        <w:t> </w:t>
      </w:r>
      <w:r>
        <w:rPr>
          <w:color w:val="231F20"/>
        </w:rPr>
        <w:t>method</w:t>
      </w:r>
      <w:r>
        <w:rPr>
          <w:color w:val="231F20"/>
          <w:spacing w:val="-10"/>
        </w:rPr>
        <w:t> </w:t>
      </w:r>
      <w:r>
        <w:rPr>
          <w:color w:val="231F20"/>
        </w:rPr>
        <w:t>design</w:t>
      </w:r>
      <w:r>
        <w:rPr>
          <w:color w:val="231F20"/>
          <w:spacing w:val="-11"/>
        </w:rPr>
        <w:t> </w:t>
      </w:r>
      <w:r>
        <w:rPr>
          <w:color w:val="231F20"/>
        </w:rPr>
        <w:t>was</w:t>
      </w:r>
      <w:r>
        <w:rPr>
          <w:color w:val="231F20"/>
          <w:spacing w:val="-10"/>
        </w:rPr>
        <w:t> </w:t>
      </w:r>
      <w:r>
        <w:rPr>
          <w:color w:val="231F20"/>
        </w:rPr>
        <w:t>used</w:t>
      </w:r>
      <w:r>
        <w:rPr>
          <w:color w:val="231F20"/>
          <w:spacing w:val="-10"/>
        </w:rPr>
        <w:t> </w:t>
      </w:r>
      <w:r>
        <w:rPr>
          <w:color w:val="231F20"/>
        </w:rPr>
        <w:t>in</w:t>
      </w:r>
      <w:r>
        <w:rPr>
          <w:color w:val="231F20"/>
          <w:spacing w:val="-10"/>
        </w:rPr>
        <w:t> </w:t>
      </w:r>
      <w:r>
        <w:rPr>
          <w:color w:val="231F20"/>
        </w:rPr>
        <w:t>this</w:t>
      </w:r>
      <w:r>
        <w:rPr>
          <w:color w:val="231F20"/>
          <w:spacing w:val="-10"/>
        </w:rPr>
        <w:t> </w:t>
      </w:r>
      <w:r>
        <w:rPr>
          <w:color w:val="231F20"/>
        </w:rPr>
        <w:t>research.</w:t>
      </w:r>
      <w:r>
        <w:rPr>
          <w:color w:val="231F20"/>
          <w:spacing w:val="-11"/>
        </w:rPr>
        <w:t> </w:t>
      </w:r>
      <w:r>
        <w:rPr>
          <w:color w:val="231F20"/>
        </w:rPr>
        <w:t>The</w:t>
      </w:r>
      <w:r>
        <w:rPr>
          <w:color w:val="231F20"/>
          <w:spacing w:val="-10"/>
        </w:rPr>
        <w:t> </w:t>
      </w:r>
      <w:r>
        <w:rPr>
          <w:color w:val="231F20"/>
        </w:rPr>
        <w:t>research was conducted businesses’ employees in private sectors at TR62 (Adana-Mersin) region. The qualitative</w:t>
      </w:r>
      <w:r>
        <w:rPr>
          <w:color w:val="231F20"/>
          <w:spacing w:val="-3"/>
        </w:rPr>
        <w:t> </w:t>
      </w:r>
      <w:r>
        <w:rPr>
          <w:color w:val="231F20"/>
        </w:rPr>
        <w:t>data</w:t>
      </w:r>
      <w:r>
        <w:rPr>
          <w:color w:val="231F20"/>
          <w:spacing w:val="-3"/>
        </w:rPr>
        <w:t> </w:t>
      </w:r>
      <w:r>
        <w:rPr>
          <w:color w:val="231F20"/>
        </w:rPr>
        <w:t>of</w:t>
      </w:r>
      <w:r>
        <w:rPr>
          <w:color w:val="231F20"/>
          <w:spacing w:val="-3"/>
        </w:rPr>
        <w:t> </w:t>
      </w:r>
      <w:r>
        <w:rPr>
          <w:color w:val="231F20"/>
        </w:rPr>
        <w:t>this</w:t>
      </w:r>
      <w:r>
        <w:rPr>
          <w:color w:val="231F20"/>
          <w:spacing w:val="-3"/>
        </w:rPr>
        <w:t> </w:t>
      </w:r>
      <w:r>
        <w:rPr>
          <w:color w:val="231F20"/>
        </w:rPr>
        <w:t>research</w:t>
      </w:r>
      <w:r>
        <w:rPr>
          <w:color w:val="231F20"/>
          <w:spacing w:val="-3"/>
        </w:rPr>
        <w:t> </w:t>
      </w:r>
      <w:r>
        <w:rPr>
          <w:color w:val="231F20"/>
        </w:rPr>
        <w:t>were</w:t>
      </w:r>
      <w:r>
        <w:rPr>
          <w:color w:val="231F20"/>
          <w:spacing w:val="-3"/>
        </w:rPr>
        <w:t> </w:t>
      </w:r>
      <w:r>
        <w:rPr>
          <w:color w:val="231F20"/>
        </w:rPr>
        <w:t>collected</w:t>
      </w:r>
      <w:r>
        <w:rPr>
          <w:color w:val="231F20"/>
          <w:spacing w:val="-3"/>
        </w:rPr>
        <w:t> </w:t>
      </w:r>
      <w:r>
        <w:rPr>
          <w:color w:val="231F20"/>
        </w:rPr>
        <w:t>from</w:t>
      </w:r>
      <w:r>
        <w:rPr>
          <w:color w:val="231F20"/>
          <w:spacing w:val="-3"/>
        </w:rPr>
        <w:t> </w:t>
      </w:r>
      <w:r>
        <w:rPr>
          <w:color w:val="231F20"/>
        </w:rPr>
        <w:t>40</w:t>
      </w:r>
      <w:r>
        <w:rPr>
          <w:color w:val="231F20"/>
          <w:spacing w:val="-3"/>
        </w:rPr>
        <w:t> </w:t>
      </w:r>
      <w:r>
        <w:rPr>
          <w:color w:val="231F20"/>
        </w:rPr>
        <w:t>personnel</w:t>
      </w:r>
      <w:r>
        <w:rPr>
          <w:color w:val="231F20"/>
          <w:spacing w:val="-3"/>
        </w:rPr>
        <w:t> </w:t>
      </w:r>
      <w:r>
        <w:rPr>
          <w:color w:val="231F20"/>
        </w:rPr>
        <w:t>working</w:t>
      </w:r>
      <w:r>
        <w:rPr>
          <w:color w:val="231F20"/>
          <w:spacing w:val="-3"/>
        </w:rPr>
        <w:t> </w:t>
      </w:r>
      <w:r>
        <w:rPr>
          <w:color w:val="231F20"/>
        </w:rPr>
        <w:t>the</w:t>
      </w:r>
      <w:r>
        <w:rPr>
          <w:color w:val="231F20"/>
          <w:spacing w:val="-3"/>
        </w:rPr>
        <w:t> </w:t>
      </w:r>
      <w:r>
        <w:rPr>
          <w:color w:val="231F20"/>
        </w:rPr>
        <w:t>Human</w:t>
      </w:r>
      <w:r>
        <w:rPr>
          <w:color w:val="231F20"/>
          <w:spacing w:val="-3"/>
        </w:rPr>
        <w:t> </w:t>
      </w:r>
      <w:r>
        <w:rPr>
          <w:color w:val="231F20"/>
        </w:rPr>
        <w:t>Resour- ces</w:t>
      </w:r>
      <w:r>
        <w:rPr>
          <w:color w:val="231F20"/>
          <w:spacing w:val="-8"/>
        </w:rPr>
        <w:t> </w:t>
      </w:r>
      <w:r>
        <w:rPr>
          <w:color w:val="231F20"/>
        </w:rPr>
        <w:t>department.</w:t>
      </w:r>
      <w:r>
        <w:rPr>
          <w:color w:val="231F20"/>
          <w:spacing w:val="-8"/>
        </w:rPr>
        <w:t> </w:t>
      </w:r>
      <w:r>
        <w:rPr>
          <w:color w:val="231F20"/>
        </w:rPr>
        <w:t>As</w:t>
      </w:r>
      <w:r>
        <w:rPr>
          <w:color w:val="231F20"/>
          <w:spacing w:val="-7"/>
        </w:rPr>
        <w:t> </w:t>
      </w:r>
      <w:r>
        <w:rPr>
          <w:color w:val="231F20"/>
        </w:rPr>
        <w:t>quantitative</w:t>
      </w:r>
      <w:r>
        <w:rPr>
          <w:color w:val="231F20"/>
          <w:spacing w:val="-8"/>
        </w:rPr>
        <w:t> </w:t>
      </w:r>
      <w:r>
        <w:rPr>
          <w:color w:val="231F20"/>
        </w:rPr>
        <w:t>data,</w:t>
      </w:r>
      <w:r>
        <w:rPr>
          <w:color w:val="231F20"/>
          <w:spacing w:val="-8"/>
        </w:rPr>
        <w:t> </w:t>
      </w:r>
      <w:r>
        <w:rPr>
          <w:color w:val="231F20"/>
        </w:rPr>
        <w:t>there</w:t>
      </w:r>
      <w:r>
        <w:rPr>
          <w:color w:val="231F20"/>
          <w:spacing w:val="-7"/>
        </w:rPr>
        <w:t> </w:t>
      </w:r>
      <w:r>
        <w:rPr>
          <w:color w:val="231F20"/>
        </w:rPr>
        <w:t>are</w:t>
      </w:r>
      <w:r>
        <w:rPr>
          <w:color w:val="231F20"/>
          <w:spacing w:val="-8"/>
        </w:rPr>
        <w:t> </w:t>
      </w:r>
      <w:r>
        <w:rPr>
          <w:color w:val="231F20"/>
        </w:rPr>
        <w:t>two</w:t>
      </w:r>
      <w:r>
        <w:rPr>
          <w:color w:val="231F20"/>
          <w:spacing w:val="-6"/>
        </w:rPr>
        <w:t> </w:t>
      </w:r>
      <w:r>
        <w:rPr>
          <w:color w:val="231F20"/>
        </w:rPr>
        <w:t>different</w:t>
      </w:r>
      <w:r>
        <w:rPr>
          <w:color w:val="231F20"/>
          <w:spacing w:val="-8"/>
        </w:rPr>
        <w:t> </w:t>
      </w:r>
      <w:r>
        <w:rPr>
          <w:color w:val="231F20"/>
        </w:rPr>
        <w:t>sample</w:t>
      </w:r>
      <w:r>
        <w:rPr>
          <w:color w:val="231F20"/>
          <w:spacing w:val="-8"/>
        </w:rPr>
        <w:t> </w:t>
      </w:r>
      <w:r>
        <w:rPr>
          <w:color w:val="231F20"/>
        </w:rPr>
        <w:t>groups.</w:t>
      </w:r>
      <w:r>
        <w:rPr>
          <w:color w:val="231F20"/>
          <w:spacing w:val="-7"/>
        </w:rPr>
        <w:t> </w:t>
      </w:r>
      <w:r>
        <w:rPr>
          <w:color w:val="231F20"/>
        </w:rPr>
        <w:t>Data</w:t>
      </w:r>
      <w:r>
        <w:rPr>
          <w:color w:val="231F20"/>
          <w:spacing w:val="-8"/>
        </w:rPr>
        <w:t> </w:t>
      </w:r>
      <w:r>
        <w:rPr>
          <w:color w:val="231F20"/>
        </w:rPr>
        <w:t>of</w:t>
      </w:r>
      <w:r>
        <w:rPr>
          <w:color w:val="231F20"/>
          <w:spacing w:val="-7"/>
        </w:rPr>
        <w:t> </w:t>
      </w:r>
      <w:r>
        <w:rPr>
          <w:color w:val="231F20"/>
        </w:rPr>
        <w:t>1436</w:t>
      </w:r>
      <w:r>
        <w:rPr>
          <w:color w:val="231F20"/>
          <w:spacing w:val="-8"/>
        </w:rPr>
        <w:t> </w:t>
      </w:r>
      <w:r>
        <w:rPr>
          <w:color w:val="231F20"/>
        </w:rPr>
        <w:t>parti- cipants were used for exploratory factor analysis. Confirmatory factor analysis was performed with the data of 3805</w:t>
      </w:r>
      <w:r>
        <w:rPr>
          <w:color w:val="231F20"/>
          <w:spacing w:val="-2"/>
        </w:rPr>
        <w:t> </w:t>
      </w:r>
      <w:r>
        <w:rPr>
          <w:color w:val="231F20"/>
        </w:rPr>
        <w:t>participants.</w:t>
      </w:r>
    </w:p>
    <w:p>
      <w:pPr>
        <w:pStyle w:val="BodyText"/>
        <w:spacing w:line="249" w:lineRule="auto" w:before="118"/>
        <w:ind w:left="252" w:right="248" w:firstLine="567"/>
        <w:jc w:val="both"/>
      </w:pPr>
      <w:r>
        <w:rPr>
          <w:color w:val="231F20"/>
        </w:rPr>
        <w:t>Before starting the research, ethics committee approval was obtained from Çağ Uni- versity, numbered E-81570533-044-2100003776 and dated 27.05.2021. The qualitative </w:t>
      </w:r>
      <w:r>
        <w:rPr>
          <w:color w:val="231F20"/>
          <w:spacing w:val="-3"/>
        </w:rPr>
        <w:t>data </w:t>
      </w:r>
      <w:r>
        <w:rPr>
          <w:color w:val="231F20"/>
        </w:rPr>
        <w:t>were collected with a semi-structured interview form. Online survey was used for collecting quantitative</w:t>
      </w:r>
      <w:r>
        <w:rPr>
          <w:color w:val="231F20"/>
          <w:spacing w:val="-8"/>
        </w:rPr>
        <w:t> </w:t>
      </w:r>
      <w:r>
        <w:rPr>
          <w:color w:val="231F20"/>
        </w:rPr>
        <w:t>datas.</w:t>
      </w:r>
      <w:r>
        <w:rPr>
          <w:color w:val="231F20"/>
          <w:spacing w:val="-7"/>
        </w:rPr>
        <w:t> </w:t>
      </w:r>
      <w:r>
        <w:rPr>
          <w:color w:val="231F20"/>
        </w:rPr>
        <w:t>The</w:t>
      </w:r>
      <w:r>
        <w:rPr>
          <w:color w:val="231F20"/>
          <w:spacing w:val="-7"/>
        </w:rPr>
        <w:t> </w:t>
      </w:r>
      <w:r>
        <w:rPr>
          <w:color w:val="231F20"/>
        </w:rPr>
        <w:t>qualitative</w:t>
      </w:r>
      <w:r>
        <w:rPr>
          <w:color w:val="231F20"/>
          <w:spacing w:val="-7"/>
        </w:rPr>
        <w:t> </w:t>
      </w:r>
      <w:r>
        <w:rPr>
          <w:color w:val="231F20"/>
        </w:rPr>
        <w:t>data</w:t>
      </w:r>
      <w:r>
        <w:rPr>
          <w:color w:val="231F20"/>
          <w:spacing w:val="-7"/>
        </w:rPr>
        <w:t> </w:t>
      </w:r>
      <w:r>
        <w:rPr>
          <w:color w:val="231F20"/>
        </w:rPr>
        <w:t>were</w:t>
      </w:r>
      <w:r>
        <w:rPr>
          <w:color w:val="231F20"/>
          <w:spacing w:val="-8"/>
        </w:rPr>
        <w:t> </w:t>
      </w:r>
      <w:r>
        <w:rPr>
          <w:color w:val="231F20"/>
        </w:rPr>
        <w:t>analyzed</w:t>
      </w:r>
      <w:r>
        <w:rPr>
          <w:color w:val="231F20"/>
          <w:spacing w:val="-7"/>
        </w:rPr>
        <w:t> </w:t>
      </w:r>
      <w:r>
        <w:rPr>
          <w:color w:val="231F20"/>
        </w:rPr>
        <w:t>ATLAS.ti</w:t>
      </w:r>
      <w:r>
        <w:rPr>
          <w:color w:val="231F20"/>
          <w:spacing w:val="-7"/>
        </w:rPr>
        <w:t> </w:t>
      </w:r>
      <w:r>
        <w:rPr>
          <w:color w:val="231F20"/>
        </w:rPr>
        <w:t>9</w:t>
      </w:r>
      <w:r>
        <w:rPr>
          <w:color w:val="231F20"/>
          <w:spacing w:val="-7"/>
        </w:rPr>
        <w:t> </w:t>
      </w:r>
      <w:r>
        <w:rPr>
          <w:color w:val="231F20"/>
        </w:rPr>
        <w:t>demo</w:t>
      </w:r>
      <w:r>
        <w:rPr>
          <w:color w:val="231F20"/>
          <w:spacing w:val="-7"/>
        </w:rPr>
        <w:t> </w:t>
      </w:r>
      <w:r>
        <w:rPr>
          <w:color w:val="231F20"/>
        </w:rPr>
        <w:t>package</w:t>
      </w:r>
      <w:r>
        <w:rPr>
          <w:color w:val="231F20"/>
          <w:spacing w:val="-7"/>
        </w:rPr>
        <w:t> </w:t>
      </w:r>
      <w:r>
        <w:rPr>
          <w:color w:val="231F20"/>
        </w:rPr>
        <w:t>program.</w:t>
      </w:r>
      <w:r>
        <w:rPr>
          <w:color w:val="231F20"/>
          <w:spacing w:val="-8"/>
        </w:rPr>
        <w:t> </w:t>
      </w:r>
      <w:r>
        <w:rPr>
          <w:color w:val="231F20"/>
        </w:rPr>
        <w:t>For the</w:t>
      </w:r>
      <w:r>
        <w:rPr>
          <w:color w:val="231F20"/>
          <w:spacing w:val="-11"/>
        </w:rPr>
        <w:t> </w:t>
      </w:r>
      <w:r>
        <w:rPr>
          <w:color w:val="231F20"/>
        </w:rPr>
        <w:t>analysis</w:t>
      </w:r>
      <w:r>
        <w:rPr>
          <w:color w:val="231F20"/>
          <w:spacing w:val="-11"/>
        </w:rPr>
        <w:t> </w:t>
      </w:r>
      <w:r>
        <w:rPr>
          <w:color w:val="231F20"/>
        </w:rPr>
        <w:t>of</w:t>
      </w:r>
      <w:r>
        <w:rPr>
          <w:color w:val="231F20"/>
          <w:spacing w:val="-10"/>
        </w:rPr>
        <w:t> </w:t>
      </w:r>
      <w:r>
        <w:rPr>
          <w:color w:val="231F20"/>
        </w:rPr>
        <w:t>quantitative</w:t>
      </w:r>
      <w:r>
        <w:rPr>
          <w:color w:val="231F20"/>
          <w:spacing w:val="-11"/>
        </w:rPr>
        <w:t> </w:t>
      </w:r>
      <w:r>
        <w:rPr>
          <w:color w:val="231F20"/>
        </w:rPr>
        <w:t>data</w:t>
      </w:r>
      <w:r>
        <w:rPr>
          <w:color w:val="231F20"/>
          <w:spacing w:val="-10"/>
        </w:rPr>
        <w:t> </w:t>
      </w:r>
      <w:r>
        <w:rPr>
          <w:color w:val="231F20"/>
        </w:rPr>
        <w:t>were</w:t>
      </w:r>
      <w:r>
        <w:rPr>
          <w:color w:val="231F20"/>
          <w:spacing w:val="-11"/>
        </w:rPr>
        <w:t> </w:t>
      </w:r>
      <w:r>
        <w:rPr>
          <w:color w:val="231F20"/>
        </w:rPr>
        <w:t>used</w:t>
      </w:r>
      <w:r>
        <w:rPr>
          <w:color w:val="231F20"/>
          <w:spacing w:val="-10"/>
        </w:rPr>
        <w:t> </w:t>
      </w:r>
      <w:r>
        <w:rPr>
          <w:color w:val="231F20"/>
        </w:rPr>
        <w:t>SPSS</w:t>
      </w:r>
      <w:r>
        <w:rPr>
          <w:color w:val="231F20"/>
          <w:spacing w:val="-11"/>
        </w:rPr>
        <w:t> </w:t>
      </w:r>
      <w:r>
        <w:rPr>
          <w:color w:val="231F20"/>
        </w:rPr>
        <w:t>28.0</w:t>
      </w:r>
      <w:r>
        <w:rPr>
          <w:color w:val="231F20"/>
          <w:spacing w:val="-10"/>
        </w:rPr>
        <w:t> </w:t>
      </w:r>
      <w:r>
        <w:rPr>
          <w:color w:val="231F20"/>
        </w:rPr>
        <w:t>demo</w:t>
      </w:r>
      <w:r>
        <w:rPr>
          <w:color w:val="231F20"/>
          <w:spacing w:val="-11"/>
        </w:rPr>
        <w:t> </w:t>
      </w:r>
      <w:r>
        <w:rPr>
          <w:color w:val="231F20"/>
        </w:rPr>
        <w:t>and</w:t>
      </w:r>
      <w:r>
        <w:rPr>
          <w:color w:val="231F20"/>
          <w:spacing w:val="-10"/>
        </w:rPr>
        <w:t> </w:t>
      </w:r>
      <w:r>
        <w:rPr>
          <w:color w:val="231F20"/>
        </w:rPr>
        <w:t>AMOS</w:t>
      </w:r>
      <w:r>
        <w:rPr>
          <w:color w:val="231F20"/>
          <w:spacing w:val="-11"/>
        </w:rPr>
        <w:t> </w:t>
      </w:r>
      <w:r>
        <w:rPr>
          <w:color w:val="231F20"/>
        </w:rPr>
        <w:t>23.0</w:t>
      </w:r>
      <w:r>
        <w:rPr>
          <w:color w:val="231F20"/>
          <w:spacing w:val="-10"/>
        </w:rPr>
        <w:t> </w:t>
      </w:r>
      <w:r>
        <w:rPr>
          <w:color w:val="231F20"/>
        </w:rPr>
        <w:t>licensed</w:t>
      </w:r>
      <w:r>
        <w:rPr>
          <w:color w:val="231F20"/>
          <w:spacing w:val="-11"/>
        </w:rPr>
        <w:t> </w:t>
      </w:r>
      <w:r>
        <w:rPr>
          <w:color w:val="231F20"/>
        </w:rPr>
        <w:t>statistical package programs. The research hypotheses were tested path analysis with latent</w:t>
      </w:r>
      <w:r>
        <w:rPr>
          <w:color w:val="231F20"/>
          <w:spacing w:val="-7"/>
        </w:rPr>
        <w:t> </w:t>
      </w:r>
      <w:r>
        <w:rPr>
          <w:color w:val="231F20"/>
        </w:rPr>
        <w:t>variables.</w:t>
      </w:r>
    </w:p>
    <w:p>
      <w:pPr>
        <w:spacing w:after="0" w:line="249" w:lineRule="auto"/>
        <w:jc w:val="both"/>
        <w:sectPr>
          <w:pgSz w:w="9530" w:h="13610"/>
          <w:pgMar w:header="700" w:footer="344" w:top="1060" w:bottom="540" w:left="740" w:right="740"/>
        </w:sectPr>
      </w:pPr>
    </w:p>
    <w:p>
      <w:pPr>
        <w:pStyle w:val="BodyText"/>
      </w:pPr>
    </w:p>
    <w:p>
      <w:pPr>
        <w:pStyle w:val="BodyText"/>
        <w:spacing w:before="1"/>
      </w:pPr>
    </w:p>
    <w:p>
      <w:pPr>
        <w:pStyle w:val="Heading1"/>
        <w:spacing w:before="1"/>
      </w:pPr>
      <w:r>
        <w:rPr>
          <w:color w:val="034694"/>
        </w:rPr>
        <w:t>Results and Conslusions</w:t>
      </w:r>
    </w:p>
    <w:p>
      <w:pPr>
        <w:pStyle w:val="BodyText"/>
        <w:spacing w:line="249" w:lineRule="auto" w:before="123"/>
        <w:ind w:left="252" w:right="248" w:firstLine="567"/>
        <w:jc w:val="both"/>
      </w:pPr>
      <w:r>
        <w:rPr>
          <w:color w:val="231F20"/>
        </w:rPr>
        <w:t>As</w:t>
      </w:r>
      <w:r>
        <w:rPr>
          <w:color w:val="231F20"/>
          <w:spacing w:val="-11"/>
        </w:rPr>
        <w:t> </w:t>
      </w:r>
      <w:r>
        <w:rPr>
          <w:color w:val="231F20"/>
        </w:rPr>
        <w:t>a</w:t>
      </w:r>
      <w:r>
        <w:rPr>
          <w:color w:val="231F20"/>
          <w:spacing w:val="-10"/>
        </w:rPr>
        <w:t> </w:t>
      </w:r>
      <w:r>
        <w:rPr>
          <w:color w:val="231F20"/>
        </w:rPr>
        <w:t>result</w:t>
      </w:r>
      <w:r>
        <w:rPr>
          <w:color w:val="231F20"/>
          <w:spacing w:val="-11"/>
        </w:rPr>
        <w:t> </w:t>
      </w:r>
      <w:r>
        <w:rPr>
          <w:color w:val="231F20"/>
        </w:rPr>
        <w:t>of</w:t>
      </w:r>
      <w:r>
        <w:rPr>
          <w:color w:val="231F20"/>
          <w:spacing w:val="-10"/>
        </w:rPr>
        <w:t> </w:t>
      </w:r>
      <w:r>
        <w:rPr>
          <w:color w:val="231F20"/>
        </w:rPr>
        <w:t>this</w:t>
      </w:r>
      <w:r>
        <w:rPr>
          <w:color w:val="231F20"/>
          <w:spacing w:val="-11"/>
        </w:rPr>
        <w:t> </w:t>
      </w:r>
      <w:r>
        <w:rPr>
          <w:color w:val="231F20"/>
        </w:rPr>
        <w:t>study,</w:t>
      </w:r>
      <w:r>
        <w:rPr>
          <w:color w:val="231F20"/>
          <w:spacing w:val="-10"/>
        </w:rPr>
        <w:t> </w:t>
      </w:r>
      <w:r>
        <w:rPr>
          <w:color w:val="231F20"/>
        </w:rPr>
        <w:t>a</w:t>
      </w:r>
      <w:r>
        <w:rPr>
          <w:color w:val="231F20"/>
          <w:spacing w:val="-11"/>
        </w:rPr>
        <w:t> </w:t>
      </w:r>
      <w:r>
        <w:rPr>
          <w:color w:val="231F20"/>
        </w:rPr>
        <w:t>valid</w:t>
      </w:r>
      <w:r>
        <w:rPr>
          <w:color w:val="231F20"/>
          <w:spacing w:val="-10"/>
        </w:rPr>
        <w:t> </w:t>
      </w:r>
      <w:r>
        <w:rPr>
          <w:color w:val="231F20"/>
        </w:rPr>
        <w:t>and</w:t>
      </w:r>
      <w:r>
        <w:rPr>
          <w:color w:val="231F20"/>
          <w:spacing w:val="-11"/>
        </w:rPr>
        <w:t> </w:t>
      </w:r>
      <w:r>
        <w:rPr>
          <w:color w:val="231F20"/>
        </w:rPr>
        <w:t>reliable</w:t>
      </w:r>
      <w:r>
        <w:rPr>
          <w:color w:val="231F20"/>
          <w:spacing w:val="-10"/>
        </w:rPr>
        <w:t> </w:t>
      </w:r>
      <w:r>
        <w:rPr>
          <w:color w:val="231F20"/>
        </w:rPr>
        <w:t>measurement</w:t>
      </w:r>
      <w:r>
        <w:rPr>
          <w:color w:val="231F20"/>
          <w:spacing w:val="-10"/>
        </w:rPr>
        <w:t> </w:t>
      </w:r>
      <w:r>
        <w:rPr>
          <w:color w:val="231F20"/>
        </w:rPr>
        <w:t>tool</w:t>
      </w:r>
      <w:r>
        <w:rPr>
          <w:color w:val="231F20"/>
          <w:spacing w:val="-11"/>
        </w:rPr>
        <w:t> </w:t>
      </w:r>
      <w:r>
        <w:rPr>
          <w:color w:val="231F20"/>
        </w:rPr>
        <w:t>has</w:t>
      </w:r>
      <w:r>
        <w:rPr>
          <w:color w:val="231F20"/>
          <w:spacing w:val="-10"/>
        </w:rPr>
        <w:t> </w:t>
      </w:r>
      <w:r>
        <w:rPr>
          <w:color w:val="231F20"/>
        </w:rPr>
        <w:t>developed</w:t>
      </w:r>
      <w:r>
        <w:rPr>
          <w:color w:val="231F20"/>
          <w:spacing w:val="-11"/>
        </w:rPr>
        <w:t> </w:t>
      </w:r>
      <w:r>
        <w:rPr>
          <w:color w:val="231F20"/>
        </w:rPr>
        <w:t>to</w:t>
      </w:r>
      <w:r>
        <w:rPr>
          <w:color w:val="231F20"/>
          <w:spacing w:val="-10"/>
        </w:rPr>
        <w:t> </w:t>
      </w:r>
      <w:r>
        <w:rPr>
          <w:color w:val="231F20"/>
        </w:rPr>
        <w:t>determi- ne</w:t>
      </w:r>
      <w:r>
        <w:rPr>
          <w:color w:val="231F20"/>
          <w:spacing w:val="-5"/>
        </w:rPr>
        <w:t> </w:t>
      </w:r>
      <w:r>
        <w:rPr>
          <w:color w:val="231F20"/>
        </w:rPr>
        <w:t>agile</w:t>
      </w:r>
      <w:r>
        <w:rPr>
          <w:color w:val="231F20"/>
          <w:spacing w:val="-5"/>
        </w:rPr>
        <w:t> </w:t>
      </w:r>
      <w:r>
        <w:rPr>
          <w:color w:val="231F20"/>
        </w:rPr>
        <w:t>leadership</w:t>
      </w:r>
      <w:r>
        <w:rPr>
          <w:color w:val="231F20"/>
          <w:spacing w:val="-4"/>
        </w:rPr>
        <w:t> </w:t>
      </w:r>
      <w:r>
        <w:rPr>
          <w:color w:val="231F20"/>
        </w:rPr>
        <w:t>skills</w:t>
      </w:r>
      <w:r>
        <w:rPr>
          <w:color w:val="231F20"/>
          <w:spacing w:val="-5"/>
        </w:rPr>
        <w:t> </w:t>
      </w:r>
      <w:r>
        <w:rPr>
          <w:color w:val="231F20"/>
        </w:rPr>
        <w:t>perception.</w:t>
      </w:r>
      <w:r>
        <w:rPr>
          <w:color w:val="231F20"/>
          <w:spacing w:val="-4"/>
        </w:rPr>
        <w:t> </w:t>
      </w:r>
      <w:r>
        <w:rPr>
          <w:color w:val="231F20"/>
        </w:rPr>
        <w:t>Based</w:t>
      </w:r>
      <w:r>
        <w:rPr>
          <w:color w:val="231F20"/>
          <w:spacing w:val="-5"/>
        </w:rPr>
        <w:t> </w:t>
      </w:r>
      <w:r>
        <w:rPr>
          <w:color w:val="231F20"/>
        </w:rPr>
        <w:t>on</w:t>
      </w:r>
      <w:r>
        <w:rPr>
          <w:color w:val="231F20"/>
          <w:spacing w:val="-4"/>
        </w:rPr>
        <w:t> </w:t>
      </w:r>
      <w:r>
        <w:rPr>
          <w:color w:val="231F20"/>
        </w:rPr>
        <w:t>the</w:t>
      </w:r>
      <w:r>
        <w:rPr>
          <w:color w:val="231F20"/>
          <w:spacing w:val="-5"/>
        </w:rPr>
        <w:t> </w:t>
      </w:r>
      <w:r>
        <w:rPr>
          <w:color w:val="231F20"/>
        </w:rPr>
        <w:t>developed</w:t>
      </w:r>
      <w:r>
        <w:rPr>
          <w:color w:val="231F20"/>
          <w:spacing w:val="-5"/>
        </w:rPr>
        <w:t> </w:t>
      </w:r>
      <w:r>
        <w:rPr>
          <w:color w:val="231F20"/>
        </w:rPr>
        <w:t>measurement</w:t>
      </w:r>
      <w:r>
        <w:rPr>
          <w:color w:val="231F20"/>
          <w:spacing w:val="-4"/>
        </w:rPr>
        <w:t> </w:t>
      </w:r>
      <w:r>
        <w:rPr>
          <w:color w:val="231F20"/>
        </w:rPr>
        <w:t>tool,</w:t>
      </w:r>
      <w:r>
        <w:rPr>
          <w:color w:val="231F20"/>
          <w:spacing w:val="-5"/>
        </w:rPr>
        <w:t> </w:t>
      </w:r>
      <w:r>
        <w:rPr>
          <w:color w:val="231F20"/>
        </w:rPr>
        <w:t>the</w:t>
      </w:r>
      <w:r>
        <w:rPr>
          <w:color w:val="231F20"/>
          <w:spacing w:val="-4"/>
        </w:rPr>
        <w:t> </w:t>
      </w:r>
      <w:r>
        <w:rPr>
          <w:color w:val="231F20"/>
        </w:rPr>
        <w:t>perception of agile leadership skill dimensions as planning and directing. And, planning was higher level than</w:t>
      </w:r>
      <w:r>
        <w:rPr>
          <w:color w:val="231F20"/>
          <w:spacing w:val="-8"/>
        </w:rPr>
        <w:t> </w:t>
      </w:r>
      <w:r>
        <w:rPr>
          <w:color w:val="231F20"/>
        </w:rPr>
        <w:t>in</w:t>
      </w:r>
      <w:r>
        <w:rPr>
          <w:color w:val="231F20"/>
          <w:spacing w:val="-8"/>
        </w:rPr>
        <w:t> </w:t>
      </w:r>
      <w:r>
        <w:rPr>
          <w:color w:val="231F20"/>
        </w:rPr>
        <w:t>directing.</w:t>
      </w:r>
      <w:r>
        <w:rPr>
          <w:color w:val="231F20"/>
          <w:spacing w:val="-8"/>
        </w:rPr>
        <w:t> </w:t>
      </w:r>
      <w:r>
        <w:rPr>
          <w:color w:val="231F20"/>
        </w:rPr>
        <w:t>When</w:t>
      </w:r>
      <w:r>
        <w:rPr>
          <w:color w:val="231F20"/>
          <w:spacing w:val="-8"/>
        </w:rPr>
        <w:t> </w:t>
      </w:r>
      <w:r>
        <w:rPr>
          <w:color w:val="231F20"/>
        </w:rPr>
        <w:t>the</w:t>
      </w:r>
      <w:r>
        <w:rPr>
          <w:color w:val="231F20"/>
          <w:spacing w:val="-8"/>
        </w:rPr>
        <w:t> </w:t>
      </w:r>
      <w:r>
        <w:rPr>
          <w:color w:val="231F20"/>
        </w:rPr>
        <w:t>findings</w:t>
      </w:r>
      <w:r>
        <w:rPr>
          <w:color w:val="231F20"/>
          <w:spacing w:val="-8"/>
        </w:rPr>
        <w:t> </w:t>
      </w:r>
      <w:r>
        <w:rPr>
          <w:color w:val="231F20"/>
        </w:rPr>
        <w:t>of</w:t>
      </w:r>
      <w:r>
        <w:rPr>
          <w:color w:val="231F20"/>
          <w:spacing w:val="-8"/>
        </w:rPr>
        <w:t> </w:t>
      </w:r>
      <w:r>
        <w:rPr>
          <w:color w:val="231F20"/>
        </w:rPr>
        <w:t>VUCA</w:t>
      </w:r>
      <w:r>
        <w:rPr>
          <w:color w:val="231F20"/>
          <w:spacing w:val="-8"/>
        </w:rPr>
        <w:t> </w:t>
      </w:r>
      <w:r>
        <w:rPr>
          <w:color w:val="231F20"/>
        </w:rPr>
        <w:t>perception</w:t>
      </w:r>
      <w:r>
        <w:rPr>
          <w:color w:val="231F20"/>
          <w:spacing w:val="-8"/>
        </w:rPr>
        <w:t> </w:t>
      </w:r>
      <w:r>
        <w:rPr>
          <w:color w:val="231F20"/>
        </w:rPr>
        <w:t>were</w:t>
      </w:r>
      <w:r>
        <w:rPr>
          <w:color w:val="231F20"/>
          <w:spacing w:val="-8"/>
        </w:rPr>
        <w:t> </w:t>
      </w:r>
      <w:r>
        <w:rPr>
          <w:color w:val="231F20"/>
        </w:rPr>
        <w:t>examined,</w:t>
      </w:r>
      <w:r>
        <w:rPr>
          <w:color w:val="231F20"/>
          <w:spacing w:val="-8"/>
        </w:rPr>
        <w:t> </w:t>
      </w:r>
      <w:r>
        <w:rPr>
          <w:color w:val="231F20"/>
        </w:rPr>
        <w:t>volatility</w:t>
      </w:r>
      <w:r>
        <w:rPr>
          <w:color w:val="231F20"/>
          <w:spacing w:val="-8"/>
        </w:rPr>
        <w:t> </w:t>
      </w:r>
      <w:r>
        <w:rPr>
          <w:color w:val="231F20"/>
        </w:rPr>
        <w:t>was</w:t>
      </w:r>
      <w:r>
        <w:rPr>
          <w:color w:val="231F20"/>
          <w:spacing w:val="-8"/>
        </w:rPr>
        <w:t> </w:t>
      </w:r>
      <w:r>
        <w:rPr>
          <w:color w:val="231F20"/>
        </w:rPr>
        <w:t>higher than complexity and uncertainty perception. In case of instability caused by high volatility perception,</w:t>
      </w:r>
      <w:r>
        <w:rPr>
          <w:color w:val="231F20"/>
          <w:spacing w:val="-5"/>
        </w:rPr>
        <w:t> </w:t>
      </w:r>
      <w:r>
        <w:rPr>
          <w:color w:val="231F20"/>
        </w:rPr>
        <w:t>employees</w:t>
      </w:r>
      <w:r>
        <w:rPr>
          <w:color w:val="231F20"/>
          <w:spacing w:val="-4"/>
        </w:rPr>
        <w:t> </w:t>
      </w:r>
      <w:r>
        <w:rPr>
          <w:color w:val="231F20"/>
        </w:rPr>
        <w:t>need</w:t>
      </w:r>
      <w:r>
        <w:rPr>
          <w:color w:val="231F20"/>
          <w:spacing w:val="-4"/>
        </w:rPr>
        <w:t> </w:t>
      </w:r>
      <w:r>
        <w:rPr>
          <w:color w:val="231F20"/>
        </w:rPr>
        <w:t>agile</w:t>
      </w:r>
      <w:r>
        <w:rPr>
          <w:color w:val="231F20"/>
          <w:spacing w:val="-4"/>
        </w:rPr>
        <w:t> </w:t>
      </w:r>
      <w:r>
        <w:rPr>
          <w:color w:val="231F20"/>
        </w:rPr>
        <w:t>leaders</w:t>
      </w:r>
      <w:r>
        <w:rPr>
          <w:color w:val="231F20"/>
          <w:spacing w:val="-4"/>
        </w:rPr>
        <w:t> </w:t>
      </w:r>
      <w:r>
        <w:rPr>
          <w:color w:val="231F20"/>
        </w:rPr>
        <w:t>in</w:t>
      </w:r>
      <w:r>
        <w:rPr>
          <w:color w:val="231F20"/>
          <w:spacing w:val="-4"/>
        </w:rPr>
        <w:t> </w:t>
      </w:r>
      <w:r>
        <w:rPr>
          <w:color w:val="231F20"/>
        </w:rPr>
        <w:t>planning</w:t>
      </w:r>
      <w:r>
        <w:rPr>
          <w:color w:val="231F20"/>
          <w:spacing w:val="-5"/>
        </w:rPr>
        <w:t> </w:t>
      </w:r>
      <w:r>
        <w:rPr>
          <w:color w:val="231F20"/>
        </w:rPr>
        <w:t>processes,</w:t>
      </w:r>
      <w:r>
        <w:rPr>
          <w:color w:val="231F20"/>
          <w:spacing w:val="-4"/>
        </w:rPr>
        <w:t> </w:t>
      </w:r>
      <w:r>
        <w:rPr>
          <w:color w:val="231F20"/>
        </w:rPr>
        <w:t>and</w:t>
      </w:r>
      <w:r>
        <w:rPr>
          <w:color w:val="231F20"/>
          <w:spacing w:val="-4"/>
        </w:rPr>
        <w:t> </w:t>
      </w:r>
      <w:r>
        <w:rPr>
          <w:color w:val="231F20"/>
        </w:rPr>
        <w:t>who</w:t>
      </w:r>
      <w:r>
        <w:rPr>
          <w:color w:val="231F20"/>
          <w:spacing w:val="-4"/>
        </w:rPr>
        <w:t> </w:t>
      </w:r>
      <w:r>
        <w:rPr>
          <w:color w:val="231F20"/>
        </w:rPr>
        <w:t>can</w:t>
      </w:r>
      <w:r>
        <w:rPr>
          <w:color w:val="231F20"/>
          <w:spacing w:val="-4"/>
        </w:rPr>
        <w:t> </w:t>
      </w:r>
      <w:r>
        <w:rPr>
          <w:color w:val="231F20"/>
        </w:rPr>
        <w:t>create</w:t>
      </w:r>
      <w:r>
        <w:rPr>
          <w:color w:val="231F20"/>
          <w:spacing w:val="-4"/>
        </w:rPr>
        <w:t> </w:t>
      </w:r>
      <w:r>
        <w:rPr>
          <w:color w:val="231F20"/>
        </w:rPr>
        <w:t>a</w:t>
      </w:r>
      <w:r>
        <w:rPr>
          <w:color w:val="231F20"/>
          <w:spacing w:val="-4"/>
        </w:rPr>
        <w:t> </w:t>
      </w:r>
      <w:r>
        <w:rPr>
          <w:color w:val="231F20"/>
        </w:rPr>
        <w:t>roadmap that will enable them to reach the targeted result faster. Another results, it has determined the positive effect of volatility perception on agile leadership skill perception. When the volatility perception increases, the agile leadership skill perception raises. It is evaluated the adaptabi- lity of the employees in the VUCA world will progress in parallel with the change perception management to be carried out on a leader-based basis. In reply to volatility, for improving </w:t>
      </w:r>
      <w:r>
        <w:rPr>
          <w:color w:val="231F20"/>
          <w:spacing w:val="-4"/>
        </w:rPr>
        <w:t>the </w:t>
      </w:r>
      <w:r>
        <w:rPr>
          <w:color w:val="231F20"/>
        </w:rPr>
        <w:t>agile capabilities, it is necessary to make the decision-making procedures more flexible, and institutional solution of organization must a speed-based</w:t>
      </w:r>
      <w:r>
        <w:rPr>
          <w:color w:val="231F20"/>
          <w:spacing w:val="-5"/>
        </w:rPr>
        <w:t> </w:t>
      </w:r>
      <w:r>
        <w:rPr>
          <w:color w:val="231F20"/>
        </w:rPr>
        <w:t>basis.</w:t>
      </w:r>
    </w:p>
    <w:p>
      <w:pPr>
        <w:spacing w:after="0" w:line="249" w:lineRule="auto"/>
        <w:jc w:val="both"/>
        <w:sectPr>
          <w:pgSz w:w="9530" w:h="13610"/>
          <w:pgMar w:header="860" w:footer="344" w:top="1060" w:bottom="540" w:left="740" w:right="740"/>
        </w:sectPr>
      </w:pPr>
    </w:p>
    <w:p>
      <w:pPr>
        <w:pStyle w:val="BodyText"/>
      </w:pPr>
    </w:p>
    <w:p>
      <w:pPr>
        <w:pStyle w:val="BodyText"/>
        <w:spacing w:before="1"/>
      </w:pPr>
    </w:p>
    <w:p>
      <w:pPr>
        <w:pStyle w:val="Heading1"/>
        <w:spacing w:before="1"/>
        <w:ind w:left="819"/>
      </w:pPr>
      <w:r>
        <w:rPr>
          <w:color w:val="231F20"/>
        </w:rPr>
        <w:t>EK</w:t>
      </w:r>
    </w:p>
    <w:p>
      <w:pPr>
        <w:pStyle w:val="BodyText"/>
        <w:spacing w:line="249" w:lineRule="auto" w:before="123"/>
        <w:ind w:left="252" w:right="250" w:firstLine="567"/>
        <w:jc w:val="both"/>
      </w:pPr>
      <w:r>
        <w:rPr>
          <w:color w:val="231F20"/>
        </w:rPr>
        <w:t>Yönerge:</w:t>
      </w:r>
      <w:r>
        <w:rPr>
          <w:color w:val="231F20"/>
          <w:spacing w:val="-13"/>
        </w:rPr>
        <w:t> </w:t>
      </w:r>
      <w:r>
        <w:rPr>
          <w:color w:val="231F20"/>
        </w:rPr>
        <w:t>Bu</w:t>
      </w:r>
      <w:r>
        <w:rPr>
          <w:color w:val="231F20"/>
          <w:spacing w:val="-12"/>
        </w:rPr>
        <w:t> </w:t>
      </w:r>
      <w:r>
        <w:rPr>
          <w:color w:val="231F20"/>
        </w:rPr>
        <w:t>ölçek</w:t>
      </w:r>
      <w:r>
        <w:rPr>
          <w:color w:val="231F20"/>
          <w:spacing w:val="-12"/>
        </w:rPr>
        <w:t> </w:t>
      </w:r>
      <w:r>
        <w:rPr>
          <w:color w:val="231F20"/>
        </w:rPr>
        <w:t>çevik</w:t>
      </w:r>
      <w:r>
        <w:rPr>
          <w:color w:val="231F20"/>
          <w:spacing w:val="-12"/>
        </w:rPr>
        <w:t> </w:t>
      </w:r>
      <w:r>
        <w:rPr>
          <w:color w:val="231F20"/>
        </w:rPr>
        <w:t>liderlik</w:t>
      </w:r>
      <w:r>
        <w:rPr>
          <w:color w:val="231F20"/>
          <w:spacing w:val="-12"/>
        </w:rPr>
        <w:t> </w:t>
      </w:r>
      <w:r>
        <w:rPr>
          <w:color w:val="231F20"/>
        </w:rPr>
        <w:t>becerisi</w:t>
      </w:r>
      <w:r>
        <w:rPr>
          <w:color w:val="231F20"/>
          <w:spacing w:val="-12"/>
        </w:rPr>
        <w:t> </w:t>
      </w:r>
      <w:r>
        <w:rPr>
          <w:color w:val="231F20"/>
        </w:rPr>
        <w:t>algısını</w:t>
      </w:r>
      <w:r>
        <w:rPr>
          <w:color w:val="231F20"/>
          <w:spacing w:val="-12"/>
        </w:rPr>
        <w:t> </w:t>
      </w:r>
      <w:r>
        <w:rPr>
          <w:color w:val="231F20"/>
        </w:rPr>
        <w:t>ölçmek</w:t>
      </w:r>
      <w:r>
        <w:rPr>
          <w:color w:val="231F20"/>
          <w:spacing w:val="-13"/>
        </w:rPr>
        <w:t> </w:t>
      </w:r>
      <w:r>
        <w:rPr>
          <w:color w:val="231F20"/>
        </w:rPr>
        <w:t>amacıyla</w:t>
      </w:r>
      <w:r>
        <w:rPr>
          <w:color w:val="231F20"/>
          <w:spacing w:val="-12"/>
        </w:rPr>
        <w:t> </w:t>
      </w:r>
      <w:r>
        <w:rPr>
          <w:color w:val="231F20"/>
        </w:rPr>
        <w:t>hazırlanmıştır.</w:t>
      </w:r>
      <w:r>
        <w:rPr>
          <w:color w:val="231F20"/>
          <w:spacing w:val="-12"/>
        </w:rPr>
        <w:t> </w:t>
      </w:r>
      <w:r>
        <w:rPr>
          <w:color w:val="231F20"/>
        </w:rPr>
        <w:t>Ölçek sonuçları,</w:t>
      </w:r>
      <w:r>
        <w:rPr>
          <w:color w:val="231F20"/>
          <w:spacing w:val="-5"/>
        </w:rPr>
        <w:t> </w:t>
      </w:r>
      <w:r>
        <w:rPr>
          <w:color w:val="231F20"/>
        </w:rPr>
        <w:t>bu</w:t>
      </w:r>
      <w:r>
        <w:rPr>
          <w:color w:val="231F20"/>
          <w:spacing w:val="-4"/>
        </w:rPr>
        <w:t> </w:t>
      </w:r>
      <w:r>
        <w:rPr>
          <w:color w:val="231F20"/>
        </w:rPr>
        <w:t>konudaki</w:t>
      </w:r>
      <w:r>
        <w:rPr>
          <w:color w:val="231F20"/>
          <w:spacing w:val="-4"/>
        </w:rPr>
        <w:t> </w:t>
      </w:r>
      <w:r>
        <w:rPr>
          <w:color w:val="231F20"/>
        </w:rPr>
        <w:t>algıyı</w:t>
      </w:r>
      <w:r>
        <w:rPr>
          <w:color w:val="231F20"/>
          <w:spacing w:val="-5"/>
        </w:rPr>
        <w:t> </w:t>
      </w:r>
      <w:r>
        <w:rPr>
          <w:color w:val="231F20"/>
        </w:rPr>
        <w:t>belirlemede</w:t>
      </w:r>
      <w:r>
        <w:rPr>
          <w:color w:val="231F20"/>
          <w:spacing w:val="-4"/>
        </w:rPr>
        <w:t> </w:t>
      </w:r>
      <w:r>
        <w:rPr>
          <w:color w:val="231F20"/>
        </w:rPr>
        <w:t>kullanılmaktadır.</w:t>
      </w:r>
      <w:r>
        <w:rPr>
          <w:color w:val="231F20"/>
          <w:spacing w:val="-4"/>
        </w:rPr>
        <w:t> </w:t>
      </w:r>
      <w:r>
        <w:rPr>
          <w:color w:val="231F20"/>
        </w:rPr>
        <w:t>Ölçekte</w:t>
      </w:r>
      <w:r>
        <w:rPr>
          <w:color w:val="231F20"/>
          <w:spacing w:val="-5"/>
        </w:rPr>
        <w:t> </w:t>
      </w:r>
      <w:r>
        <w:rPr>
          <w:color w:val="231F20"/>
        </w:rPr>
        <w:t>29</w:t>
      </w:r>
      <w:r>
        <w:rPr>
          <w:color w:val="231F20"/>
          <w:spacing w:val="-4"/>
        </w:rPr>
        <w:t> </w:t>
      </w:r>
      <w:r>
        <w:rPr>
          <w:color w:val="231F20"/>
        </w:rPr>
        <w:t>adet</w:t>
      </w:r>
      <w:r>
        <w:rPr>
          <w:color w:val="231F20"/>
          <w:spacing w:val="-4"/>
        </w:rPr>
        <w:t> </w:t>
      </w:r>
      <w:r>
        <w:rPr>
          <w:color w:val="231F20"/>
        </w:rPr>
        <w:t>ifade</w:t>
      </w:r>
      <w:r>
        <w:rPr>
          <w:color w:val="231F20"/>
          <w:spacing w:val="-5"/>
        </w:rPr>
        <w:t> </w:t>
      </w:r>
      <w:r>
        <w:rPr>
          <w:color w:val="231F20"/>
        </w:rPr>
        <w:t>bulunmakta- dır. Tahmini yanıtlama süresi 5 dakikadır. Her bir ifadeyi okuduktan sonra, ifadeye ne ölçüde katıldığınızı</w:t>
      </w:r>
      <w:r>
        <w:rPr>
          <w:color w:val="231F20"/>
          <w:spacing w:val="-9"/>
        </w:rPr>
        <w:t> </w:t>
      </w:r>
      <w:r>
        <w:rPr>
          <w:color w:val="231F20"/>
        </w:rPr>
        <w:t>ya</w:t>
      </w:r>
      <w:r>
        <w:rPr>
          <w:color w:val="231F20"/>
          <w:spacing w:val="-9"/>
        </w:rPr>
        <w:t> </w:t>
      </w:r>
      <w:r>
        <w:rPr>
          <w:color w:val="231F20"/>
        </w:rPr>
        <w:t>da</w:t>
      </w:r>
      <w:r>
        <w:rPr>
          <w:color w:val="231F20"/>
          <w:spacing w:val="-8"/>
        </w:rPr>
        <w:t> </w:t>
      </w:r>
      <w:r>
        <w:rPr>
          <w:color w:val="231F20"/>
        </w:rPr>
        <w:t>katılmadığınızı</w:t>
      </w:r>
      <w:r>
        <w:rPr>
          <w:color w:val="231F20"/>
          <w:spacing w:val="-9"/>
        </w:rPr>
        <w:t> </w:t>
      </w:r>
      <w:r>
        <w:rPr>
          <w:color w:val="231F20"/>
        </w:rPr>
        <w:t>gösteren</w:t>
      </w:r>
      <w:r>
        <w:rPr>
          <w:color w:val="231F20"/>
          <w:spacing w:val="-9"/>
        </w:rPr>
        <w:t> </w:t>
      </w:r>
      <w:r>
        <w:rPr>
          <w:color w:val="231F20"/>
        </w:rPr>
        <w:t>cevabı</w:t>
      </w:r>
      <w:r>
        <w:rPr>
          <w:color w:val="231F20"/>
          <w:spacing w:val="-8"/>
        </w:rPr>
        <w:t> </w:t>
      </w:r>
      <w:r>
        <w:rPr>
          <w:color w:val="231F20"/>
        </w:rPr>
        <w:t>işaretleyiniz.</w:t>
      </w:r>
      <w:r>
        <w:rPr>
          <w:color w:val="231F20"/>
          <w:spacing w:val="-9"/>
        </w:rPr>
        <w:t> </w:t>
      </w:r>
      <w:r>
        <w:rPr>
          <w:color w:val="231F20"/>
        </w:rPr>
        <w:t>Mevcut</w:t>
      </w:r>
      <w:r>
        <w:rPr>
          <w:color w:val="231F20"/>
          <w:spacing w:val="-9"/>
        </w:rPr>
        <w:t> </w:t>
      </w:r>
      <w:r>
        <w:rPr>
          <w:color w:val="231F20"/>
        </w:rPr>
        <w:t>yöneticinizi</w:t>
      </w:r>
      <w:r>
        <w:rPr>
          <w:color w:val="231F20"/>
          <w:spacing w:val="-8"/>
        </w:rPr>
        <w:t> </w:t>
      </w:r>
      <w:r>
        <w:rPr>
          <w:color w:val="231F20"/>
        </w:rPr>
        <w:t>düşünerek katılım derecenizi belirtiniz.</w:t>
      </w:r>
    </w:p>
    <w:p>
      <w:pPr>
        <w:pStyle w:val="BodyText"/>
        <w:spacing w:before="118"/>
        <w:ind w:left="819"/>
        <w:jc w:val="both"/>
      </w:pPr>
      <w:r>
        <w:rPr>
          <w:color w:val="231F20"/>
        </w:rPr>
        <w:t>Ölçekte cevap seçenekleri (5) Tamamen katılıyorum, (4) Katılıyorum, (3) Kararsızım,</w:t>
      </w:r>
    </w:p>
    <w:p>
      <w:pPr>
        <w:pStyle w:val="BodyText"/>
        <w:spacing w:line="249" w:lineRule="auto" w:before="10"/>
        <w:ind w:left="252" w:right="251"/>
        <w:jc w:val="both"/>
      </w:pPr>
      <w:r>
        <w:rPr>
          <w:color w:val="231F20"/>
        </w:rPr>
        <w:t>(2) Katılmıyorum, (1) Hiç katılmıyorum şeklinde beşli derecelendirmelidir. Ters kodlu ifade bulunmamaktadır.</w:t>
      </w:r>
    </w:p>
    <w:p>
      <w:pPr>
        <w:pStyle w:val="BodyText"/>
        <w:spacing w:before="10"/>
        <w:rPr>
          <w:sz w:val="8"/>
        </w:rPr>
      </w:pPr>
      <w:r>
        <w:rPr/>
        <w:pict>
          <v:shape style="position:absolute;margin-left:49.6063pt;margin-top:7.328016pt;width:377.05pt;height:.1pt;mso-position-horizontal-relative:page;mso-position-vertical-relative:paragraph;z-index:-15704576;mso-wrap-distance-left:0;mso-wrap-distance-right:0" coordorigin="992,147" coordsize="7541,0" path="m992,147l8532,147e" filled="false" stroked="true" strokeweight=".5pt" strokecolor="#231f20">
            <v:path arrowok="t"/>
            <v:stroke dashstyle="solid"/>
            <w10:wrap type="topAndBottom"/>
          </v:shape>
        </w:pict>
      </w:r>
    </w:p>
    <w:p>
      <w:pPr>
        <w:pStyle w:val="Heading1"/>
        <w:spacing w:before="8" w:after="32"/>
        <w:ind w:left="331"/>
      </w:pPr>
      <w:r>
        <w:rPr>
          <w:color w:val="231F20"/>
        </w:rPr>
        <w:t>Benim yönetici liderim;</w:t>
      </w:r>
    </w:p>
    <w:p>
      <w:pPr>
        <w:pStyle w:val="BodyText"/>
        <w:spacing w:line="20" w:lineRule="exact"/>
        <w:ind w:left="247"/>
        <w:rPr>
          <w:sz w:val="2"/>
        </w:rPr>
      </w:pPr>
      <w:r>
        <w:rPr>
          <w:sz w:val="2"/>
        </w:rPr>
        <w:pict>
          <v:group style="width:377.05pt;height:.5pt;mso-position-horizontal-relative:char;mso-position-vertical-relative:line" coordorigin="0,0" coordsize="7541,10">
            <v:line style="position:absolute" from="0,5" to="7540,5" stroked="true" strokeweight=".5pt" strokecolor="#231f20">
              <v:stroke dashstyle="solid"/>
            </v:line>
          </v:group>
        </w:pict>
      </w:r>
      <w:r>
        <w:rPr>
          <w:sz w:val="2"/>
        </w:rPr>
      </w:r>
    </w:p>
    <w:p>
      <w:pPr>
        <w:pStyle w:val="BodyText"/>
        <w:spacing w:before="27"/>
        <w:ind w:left="331"/>
      </w:pPr>
      <w:r>
        <w:rPr/>
        <w:pict>
          <v:shape style="position:absolute;margin-left:49.6063pt;margin-top:14.651952pt;width:377.05pt;height:.1pt;mso-position-horizontal-relative:page;mso-position-vertical-relative:paragraph;z-index:-15703552;mso-wrap-distance-left:0;mso-wrap-distance-right:0" coordorigin="992,293" coordsize="7541,0" path="m992,293l8532,293e" filled="false" stroked="true" strokeweight=".25pt" strokecolor="#231f20">
            <v:path arrowok="t"/>
            <v:stroke dashstyle="solid"/>
            <w10:wrap type="topAndBottom"/>
          </v:shape>
        </w:pict>
      </w:r>
      <w:r>
        <w:rPr>
          <w:b/>
          <w:color w:val="231F20"/>
        </w:rPr>
        <w:t>P1. </w:t>
      </w:r>
      <w:r>
        <w:rPr>
          <w:color w:val="231F20"/>
        </w:rPr>
        <w:t>Değişime ve değişimin hızına süratle ayak uydurabilir.</w:t>
      </w:r>
    </w:p>
    <w:p>
      <w:pPr>
        <w:pStyle w:val="BodyText"/>
        <w:spacing w:before="10" w:after="34"/>
        <w:ind w:left="331"/>
      </w:pPr>
      <w:r>
        <w:rPr>
          <w:b/>
          <w:color w:val="231F20"/>
        </w:rPr>
        <w:t>P2. </w:t>
      </w:r>
      <w:r>
        <w:rPr>
          <w:color w:val="231F20"/>
        </w:rPr>
        <w:t>Yeni fikirlere, yaklaşımlara ve yöntemlere açıktır.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95947pt;width:377.05pt;height:.1pt;mso-position-horizontal-relative:page;mso-position-vertical-relative:paragraph;z-index:-15702528;mso-wrap-distance-left:0;mso-wrap-distance-right:0" coordorigin="992,292" coordsize="7541,0" path="m992,292l8532,292e" filled="false" stroked="true" strokeweight=".25pt" strokecolor="#231f20">
            <v:path arrowok="t"/>
            <v:stroke dashstyle="solid"/>
            <w10:wrap type="topAndBottom"/>
          </v:shape>
        </w:pict>
      </w:r>
      <w:r>
        <w:rPr>
          <w:b/>
          <w:color w:val="231F20"/>
        </w:rPr>
        <w:t>P3. </w:t>
      </w:r>
      <w:r>
        <w:rPr>
          <w:color w:val="231F20"/>
        </w:rPr>
        <w:t>Farklı bakış açıları, görüş ve fikirleri öğrenmek için isteklidir</w:t>
      </w:r>
    </w:p>
    <w:p>
      <w:pPr>
        <w:pStyle w:val="BodyText"/>
        <w:spacing w:before="11" w:after="33"/>
        <w:ind w:left="331"/>
      </w:pPr>
      <w:r>
        <w:rPr>
          <w:b/>
          <w:color w:val="231F20"/>
        </w:rPr>
        <w:t>P4. </w:t>
      </w:r>
      <w:r>
        <w:rPr>
          <w:color w:val="231F20"/>
        </w:rPr>
        <w:t>İş ortamını etkileyen küresel değişimleri çok yönlü olarak takip eder.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89942pt;width:377.05pt;height:.1pt;mso-position-horizontal-relative:page;mso-position-vertical-relative:paragraph;z-index:-15701504;mso-wrap-distance-left:0;mso-wrap-distance-right:0" coordorigin="992,292" coordsize="7541,0" path="m992,292l8532,292e" filled="false" stroked="true" strokeweight=".25pt" strokecolor="#231f20">
            <v:path arrowok="t"/>
            <v:stroke dashstyle="solid"/>
            <w10:wrap type="topAndBottom"/>
          </v:shape>
        </w:pict>
      </w:r>
      <w:r>
        <w:rPr>
          <w:b/>
          <w:color w:val="231F20"/>
        </w:rPr>
        <w:t>P5. </w:t>
      </w:r>
      <w:r>
        <w:rPr>
          <w:color w:val="231F20"/>
        </w:rPr>
        <w:t>Dijital teknolojileri etkin olarak kullanır.</w:t>
      </w:r>
    </w:p>
    <w:p>
      <w:pPr>
        <w:pStyle w:val="BodyText"/>
        <w:spacing w:before="11" w:after="33"/>
        <w:ind w:left="331"/>
      </w:pPr>
      <w:r>
        <w:rPr>
          <w:b/>
          <w:color w:val="231F20"/>
        </w:rPr>
        <w:t>P6. </w:t>
      </w:r>
      <w:r>
        <w:rPr>
          <w:color w:val="231F20"/>
        </w:rPr>
        <w:t>Çalışanlarla iletişim kanallarını açık tutarak bilgiyi paylaşır.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83938pt;width:377.05pt;height:.1pt;mso-position-horizontal-relative:page;mso-position-vertical-relative:paragraph;z-index:-15700480;mso-wrap-distance-left:0;mso-wrap-distance-right:0" coordorigin="992,292" coordsize="7541,0" path="m992,292l8532,292e" filled="false" stroked="true" strokeweight=".25pt" strokecolor="#231f20">
            <v:path arrowok="t"/>
            <v:stroke dashstyle="solid"/>
            <w10:wrap type="topAndBottom"/>
          </v:shape>
        </w:pict>
      </w:r>
      <w:r>
        <w:rPr>
          <w:b/>
          <w:color w:val="231F20"/>
        </w:rPr>
        <w:t>P7. </w:t>
      </w:r>
      <w:r>
        <w:rPr>
          <w:color w:val="231F20"/>
        </w:rPr>
        <w:t>Belirsizlikler karşısında hızla tepki verebilecek tedbirler geliştirir.</w:t>
      </w:r>
    </w:p>
    <w:p>
      <w:pPr>
        <w:pStyle w:val="BodyText"/>
        <w:spacing w:before="11" w:after="33"/>
        <w:ind w:left="331"/>
      </w:pPr>
      <w:r>
        <w:rPr>
          <w:b/>
          <w:color w:val="231F20"/>
        </w:rPr>
        <w:t>P8. </w:t>
      </w:r>
      <w:r>
        <w:rPr>
          <w:color w:val="231F20"/>
        </w:rPr>
        <w:t>İnsan odaklı kararlar verir.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77932pt;width:377.05pt;height:.1pt;mso-position-horizontal-relative:page;mso-position-vertical-relative:paragraph;z-index:-15699456;mso-wrap-distance-left:0;mso-wrap-distance-right:0" coordorigin="992,292" coordsize="7541,0" path="m992,292l8532,292e" filled="false" stroked="true" strokeweight=".25pt" strokecolor="#231f20">
            <v:path arrowok="t"/>
            <v:stroke dashstyle="solid"/>
            <w10:wrap type="topAndBottom"/>
          </v:shape>
        </w:pict>
      </w:r>
      <w:r>
        <w:rPr>
          <w:b/>
          <w:color w:val="231F20"/>
        </w:rPr>
        <w:t>P9. </w:t>
      </w:r>
      <w:r>
        <w:rPr>
          <w:color w:val="231F20"/>
        </w:rPr>
        <w:t>Herkese söz söyleme hürriyeti tanır.</w:t>
      </w:r>
    </w:p>
    <w:p>
      <w:pPr>
        <w:pStyle w:val="BodyText"/>
        <w:spacing w:before="11" w:after="33"/>
        <w:ind w:left="331"/>
      </w:pPr>
      <w:r>
        <w:rPr>
          <w:b/>
          <w:color w:val="231F20"/>
        </w:rPr>
        <w:t>P10. </w:t>
      </w:r>
      <w:r>
        <w:rPr>
          <w:color w:val="231F20"/>
        </w:rPr>
        <w:t>Bireyin değil, bütünün başarısına odaklanır.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71927pt;width:377.05pt;height:.1pt;mso-position-horizontal-relative:page;mso-position-vertical-relative:paragraph;z-index:-15698432;mso-wrap-distance-left:0;mso-wrap-distance-right:0" coordorigin="992,291" coordsize="7541,0" path="m992,291l8532,291e" filled="false" stroked="true" strokeweight=".25pt" strokecolor="#231f20">
            <v:path arrowok="t"/>
            <v:stroke dashstyle="solid"/>
            <w10:wrap type="topAndBottom"/>
          </v:shape>
        </w:pict>
      </w:r>
      <w:r>
        <w:rPr>
          <w:b/>
          <w:color w:val="231F20"/>
        </w:rPr>
        <w:t>Y1. </w:t>
      </w:r>
      <w:r>
        <w:rPr>
          <w:color w:val="231F20"/>
        </w:rPr>
        <w:t>İş yerinde değişimin öncüsüdür.</w:t>
      </w:r>
    </w:p>
    <w:p>
      <w:pPr>
        <w:pStyle w:val="BodyText"/>
        <w:spacing w:before="11" w:after="33"/>
        <w:ind w:left="331"/>
      </w:pPr>
      <w:r>
        <w:rPr>
          <w:b/>
          <w:color w:val="231F20"/>
        </w:rPr>
        <w:t>Y2. </w:t>
      </w:r>
      <w:r>
        <w:rPr>
          <w:color w:val="231F20"/>
        </w:rPr>
        <w:t>Çalışanları yetki vererek güçlendirir.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65923pt;width:377.05pt;height:.1pt;mso-position-horizontal-relative:page;mso-position-vertical-relative:paragraph;z-index:-15697408;mso-wrap-distance-left:0;mso-wrap-distance-right:0" coordorigin="992,291" coordsize="7541,0" path="m992,291l8532,291e" filled="false" stroked="true" strokeweight=".25pt" strokecolor="#231f20">
            <v:path arrowok="t"/>
            <v:stroke dashstyle="solid"/>
            <w10:wrap type="topAndBottom"/>
          </v:shape>
        </w:pict>
      </w:r>
      <w:r>
        <w:rPr>
          <w:b/>
          <w:color w:val="231F20"/>
        </w:rPr>
        <w:t>Y3. </w:t>
      </w:r>
      <w:r>
        <w:rPr>
          <w:color w:val="231F20"/>
        </w:rPr>
        <w:t>Çalışanlarla etkili iletişim kurar.</w:t>
      </w:r>
    </w:p>
    <w:p>
      <w:pPr>
        <w:pStyle w:val="BodyText"/>
        <w:spacing w:line="249" w:lineRule="auto" w:before="11" w:after="24"/>
        <w:ind w:left="785" w:right="323" w:hanging="454"/>
      </w:pPr>
      <w:r>
        <w:rPr>
          <w:b/>
          <w:color w:val="231F20"/>
        </w:rPr>
        <w:t>Y4. </w:t>
      </w:r>
      <w:r>
        <w:rPr>
          <w:color w:val="231F20"/>
        </w:rPr>
        <w:t>Koçluk yaparak çalışanların yetkinliklerini ve performanslarını geliştirmesine yardımcı olur.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2" to="7540,2" stroked="true" strokeweight=".25pt" strokecolor="#231f20">
              <v:stroke dashstyle="solid"/>
            </v:line>
          </v:group>
        </w:pict>
      </w:r>
      <w:r>
        <w:rPr>
          <w:sz w:val="2"/>
        </w:rPr>
      </w:r>
    </w:p>
    <w:p>
      <w:pPr>
        <w:pStyle w:val="BodyText"/>
        <w:spacing w:before="26"/>
        <w:ind w:left="331"/>
      </w:pPr>
      <w:r>
        <w:rPr/>
        <w:pict>
          <v:shape style="position:absolute;margin-left:49.6063pt;margin-top:14.559933pt;width:377.05pt;height:.1pt;mso-position-horizontal-relative:page;mso-position-vertical-relative:paragraph;z-index:-15696384;mso-wrap-distance-left:0;mso-wrap-distance-right:0" coordorigin="992,291" coordsize="7541,0" path="m992,291l8532,291e" filled="false" stroked="true" strokeweight=".25pt" strokecolor="#231f20">
            <v:path arrowok="t"/>
            <v:stroke dashstyle="solid"/>
            <w10:wrap type="topAndBottom"/>
          </v:shape>
        </w:pict>
      </w:r>
      <w:r>
        <w:rPr>
          <w:b/>
          <w:color w:val="231F20"/>
        </w:rPr>
        <w:t>Y5. </w:t>
      </w:r>
      <w:r>
        <w:rPr>
          <w:color w:val="231F20"/>
        </w:rPr>
        <w:t>Psikolojik dayanıklılığa sahiptir.</w:t>
      </w:r>
    </w:p>
    <w:p>
      <w:pPr>
        <w:pStyle w:val="BodyText"/>
        <w:spacing w:before="11" w:after="33"/>
        <w:ind w:left="331"/>
      </w:pPr>
      <w:r>
        <w:rPr>
          <w:b/>
          <w:color w:val="231F20"/>
        </w:rPr>
        <w:t>Y6. </w:t>
      </w:r>
      <w:r>
        <w:rPr>
          <w:color w:val="231F20"/>
        </w:rPr>
        <w:t>Değişken, belirsiz ve karmaşık ortamlarda çalışanları cesaretlendirir.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53944pt;width:377.05pt;height:.1pt;mso-position-horizontal-relative:page;mso-position-vertical-relative:paragraph;z-index:-15695360;mso-wrap-distance-left:0;mso-wrap-distance-right:0" coordorigin="992,291" coordsize="7541,0" path="m992,291l8532,291e" filled="false" stroked="true" strokeweight=".25pt" strokecolor="#231f20">
            <v:path arrowok="t"/>
            <v:stroke dashstyle="solid"/>
            <w10:wrap type="topAndBottom"/>
          </v:shape>
        </w:pict>
      </w:r>
      <w:r>
        <w:rPr>
          <w:b/>
          <w:color w:val="231F20"/>
        </w:rPr>
        <w:t>Y7. </w:t>
      </w:r>
      <w:r>
        <w:rPr>
          <w:color w:val="231F20"/>
        </w:rPr>
        <w:t>Çalışanların, “değişimi” fırsat olarak görmelerini sağlar.</w:t>
      </w:r>
    </w:p>
    <w:p>
      <w:pPr>
        <w:pStyle w:val="BodyText"/>
        <w:spacing w:before="11" w:after="33"/>
        <w:ind w:left="331"/>
      </w:pPr>
      <w:r>
        <w:rPr>
          <w:b/>
          <w:color w:val="231F20"/>
        </w:rPr>
        <w:t>Y8. </w:t>
      </w:r>
      <w:r>
        <w:rPr>
          <w:color w:val="231F20"/>
        </w:rPr>
        <w:t>Çalışanlara ilham verir.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6"/>
        <w:ind w:left="331"/>
      </w:pPr>
      <w:r>
        <w:rPr/>
        <w:pict>
          <v:shape style="position:absolute;margin-left:49.6063pt;margin-top:14.547938pt;width:377.05pt;height:.1pt;mso-position-horizontal-relative:page;mso-position-vertical-relative:paragraph;z-index:-15694336;mso-wrap-distance-left:0;mso-wrap-distance-right:0" coordorigin="992,291" coordsize="7541,0" path="m992,291l8532,291e" filled="false" stroked="true" strokeweight=".25pt" strokecolor="#231f20">
            <v:path arrowok="t"/>
            <v:stroke dashstyle="solid"/>
            <w10:wrap type="topAndBottom"/>
          </v:shape>
        </w:pict>
      </w:r>
      <w:r>
        <w:rPr>
          <w:b/>
          <w:color w:val="231F20"/>
        </w:rPr>
        <w:t>Y9. </w:t>
      </w:r>
      <w:r>
        <w:rPr>
          <w:color w:val="231F20"/>
        </w:rPr>
        <w:t>Çalışanların değişime uyum sağlamalarında önderlik eder.</w:t>
      </w:r>
    </w:p>
    <w:p>
      <w:pPr>
        <w:pStyle w:val="BodyText"/>
        <w:spacing w:before="12" w:after="32"/>
        <w:ind w:left="331"/>
      </w:pPr>
      <w:r>
        <w:rPr>
          <w:b/>
          <w:color w:val="231F20"/>
        </w:rPr>
        <w:t>Y10. </w:t>
      </w:r>
      <w:r>
        <w:rPr>
          <w:color w:val="231F20"/>
        </w:rPr>
        <w:t>Çalışanları yeni ve yaratıcı fikirler üretmeye teşvik eder.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7"/>
        <w:ind w:left="331"/>
      </w:pPr>
      <w:r>
        <w:rPr/>
        <w:pict>
          <v:shape style="position:absolute;margin-left:49.6063pt;margin-top:14.591933pt;width:377.05pt;height:.1pt;mso-position-horizontal-relative:page;mso-position-vertical-relative:paragraph;z-index:-15693312;mso-wrap-distance-left:0;mso-wrap-distance-right:0" coordorigin="992,292" coordsize="7541,0" path="m992,292l8532,292e" filled="false" stroked="true" strokeweight=".25pt" strokecolor="#231f20">
            <v:path arrowok="t"/>
            <v:stroke dashstyle="solid"/>
            <w10:wrap type="topAndBottom"/>
          </v:shape>
        </w:pict>
      </w:r>
      <w:r>
        <w:rPr>
          <w:b/>
          <w:color w:val="231F20"/>
        </w:rPr>
        <w:t>Y11. </w:t>
      </w:r>
      <w:r>
        <w:rPr>
          <w:color w:val="231F20"/>
        </w:rPr>
        <w:t>Çalışanlara yeni beceriler kazanmalarını sağlayacak fırsatlar sunar.</w:t>
      </w:r>
    </w:p>
    <w:p>
      <w:pPr>
        <w:pStyle w:val="BodyText"/>
        <w:spacing w:before="12" w:after="32"/>
        <w:ind w:left="331"/>
      </w:pPr>
      <w:r>
        <w:rPr>
          <w:b/>
          <w:color w:val="231F20"/>
        </w:rPr>
        <w:t>Y12. </w:t>
      </w:r>
      <w:r>
        <w:rPr>
          <w:color w:val="231F20"/>
        </w:rPr>
        <w:t>Çalışanların hesaplanmış riskler alarak deneyim kazanmalarını sağlar.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7"/>
        <w:ind w:left="331"/>
      </w:pPr>
      <w:r>
        <w:rPr/>
        <w:pict>
          <v:shape style="position:absolute;margin-left:49.6063pt;margin-top:14.585836pt;width:377.05pt;height:.1pt;mso-position-horizontal-relative:page;mso-position-vertical-relative:paragraph;z-index:-15692288;mso-wrap-distance-left:0;mso-wrap-distance-right:0" coordorigin="992,292" coordsize="7541,0" path="m992,292l8532,292e" filled="false" stroked="true" strokeweight=".25pt" strokecolor="#231f20">
            <v:path arrowok="t"/>
            <v:stroke dashstyle="solid"/>
            <w10:wrap type="topAndBottom"/>
          </v:shape>
        </w:pict>
      </w:r>
      <w:r>
        <w:rPr>
          <w:b/>
          <w:color w:val="231F20"/>
        </w:rPr>
        <w:t>Y13. </w:t>
      </w:r>
      <w:r>
        <w:rPr>
          <w:color w:val="231F20"/>
        </w:rPr>
        <w:t>Çalışanların kendi kendine düşünme, karar alma ve harekete geçmelerini teşvik eder.</w:t>
      </w:r>
    </w:p>
    <w:p>
      <w:pPr>
        <w:pStyle w:val="BodyText"/>
        <w:spacing w:before="12" w:after="32"/>
        <w:ind w:left="331"/>
      </w:pPr>
      <w:r>
        <w:rPr>
          <w:b/>
          <w:color w:val="231F20"/>
        </w:rPr>
        <w:t>Y14. </w:t>
      </w:r>
      <w:r>
        <w:rPr>
          <w:color w:val="231F20"/>
        </w:rPr>
        <w:t>Her bir çalışanın verimliliğini bireysel ihtiyaçlarına uygun eğitimlerle geliştirir.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7"/>
        <w:ind w:left="331"/>
      </w:pPr>
      <w:r>
        <w:rPr/>
        <w:pict>
          <v:shape style="position:absolute;margin-left:49.6063pt;margin-top:14.579839pt;width:377.05pt;height:.1pt;mso-position-horizontal-relative:page;mso-position-vertical-relative:paragraph;z-index:-15691264;mso-wrap-distance-left:0;mso-wrap-distance-right:0" coordorigin="992,292" coordsize="7541,0" path="m992,292l8532,292e" filled="false" stroked="true" strokeweight=".25pt" strokecolor="#231f20">
            <v:path arrowok="t"/>
            <v:stroke dashstyle="solid"/>
            <w10:wrap type="topAndBottom"/>
          </v:shape>
        </w:pict>
      </w:r>
      <w:r>
        <w:rPr>
          <w:b/>
          <w:color w:val="231F20"/>
        </w:rPr>
        <w:t>Y15. </w:t>
      </w:r>
      <w:r>
        <w:rPr>
          <w:color w:val="231F20"/>
        </w:rPr>
        <w:t>Sürekli verimlilik için çalışanların fiziksel, zihinsel ve duygusal zindeliklerini destekler.</w:t>
      </w:r>
    </w:p>
    <w:p>
      <w:pPr>
        <w:spacing w:after="0"/>
        <w:sectPr>
          <w:pgSz w:w="9530" w:h="13610"/>
          <w:pgMar w:header="700" w:footer="344" w:top="1060" w:bottom="540" w:left="740" w:right="740"/>
        </w:sectPr>
      </w:pPr>
    </w:p>
    <w:p>
      <w:pPr>
        <w:pStyle w:val="BodyText"/>
      </w:pPr>
    </w:p>
    <w:p>
      <w:pPr>
        <w:pStyle w:val="BodyText"/>
        <w:spacing w:before="3"/>
        <w:rPr>
          <w:sz w:val="23"/>
        </w:rPr>
      </w:pP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5"/>
        <w:ind w:left="331"/>
      </w:pPr>
      <w:r>
        <w:rPr/>
        <w:pict>
          <v:shape style="position:absolute;margin-left:49.6063pt;margin-top:14.554919pt;width:377.05pt;height:.1pt;mso-position-horizontal-relative:page;mso-position-vertical-relative:paragraph;z-index:-15690240;mso-wrap-distance-left:0;mso-wrap-distance-right:0" coordorigin="992,291" coordsize="7541,0" path="m992,291l8532,291e" filled="false" stroked="true" strokeweight=".25pt" strokecolor="#231f20">
            <v:path arrowok="t"/>
            <v:stroke dashstyle="solid"/>
            <w10:wrap type="topAndBottom"/>
          </v:shape>
        </w:pict>
      </w:r>
      <w:r>
        <w:rPr>
          <w:b/>
          <w:color w:val="231F20"/>
        </w:rPr>
        <w:t>Y16. </w:t>
      </w:r>
      <w:r>
        <w:rPr>
          <w:color w:val="231F20"/>
        </w:rPr>
        <w:t>Çalışanların kendisi hakkında geri bildirimde bulunmasını teşvik eder.</w:t>
      </w:r>
    </w:p>
    <w:p>
      <w:pPr>
        <w:pStyle w:val="BodyText"/>
        <w:spacing w:line="249" w:lineRule="auto" w:before="10" w:after="25"/>
        <w:ind w:left="785" w:right="29" w:hanging="454"/>
      </w:pPr>
      <w:r>
        <w:rPr>
          <w:b/>
          <w:color w:val="231F20"/>
        </w:rPr>
        <w:t>Y17. </w:t>
      </w:r>
      <w:r>
        <w:rPr>
          <w:color w:val="231F20"/>
        </w:rPr>
        <w:t>Çalışanların hata yapmalarına imkan tanır ve bu hatalardan yeni şeyler öğrenmelerini sağlar.</w:t>
      </w:r>
    </w:p>
    <w:p>
      <w:pPr>
        <w:pStyle w:val="BodyText"/>
        <w:spacing w:line="20" w:lineRule="exact"/>
        <w:ind w:left="249"/>
        <w:rPr>
          <w:sz w:val="2"/>
        </w:rPr>
      </w:pPr>
      <w:r>
        <w:rPr>
          <w:sz w:val="2"/>
        </w:rPr>
        <w:pict>
          <v:group style="width:377.05pt;height:.25pt;mso-position-horizontal-relative:char;mso-position-vertical-relative:line" coordorigin="0,0" coordsize="7541,5">
            <v:line style="position:absolute" from="0,3" to="7540,3" stroked="true" strokeweight=".25pt" strokecolor="#231f20">
              <v:stroke dashstyle="solid"/>
            </v:line>
          </v:group>
        </w:pict>
      </w:r>
      <w:r>
        <w:rPr>
          <w:sz w:val="2"/>
        </w:rPr>
      </w:r>
    </w:p>
    <w:p>
      <w:pPr>
        <w:pStyle w:val="BodyText"/>
        <w:spacing w:before="25"/>
        <w:ind w:left="331"/>
      </w:pPr>
      <w:r>
        <w:rPr/>
        <w:pict>
          <v:shape style="position:absolute;margin-left:49.6063pt;margin-top:14.548915pt;width:377.05pt;height:.1pt;mso-position-horizontal-relative:page;mso-position-vertical-relative:paragraph;z-index:-15689216;mso-wrap-distance-left:0;mso-wrap-distance-right:0" coordorigin="992,291" coordsize="7541,0" path="m992,291l8532,291e" filled="false" stroked="true" strokeweight=".25pt" strokecolor="#231f20">
            <v:path arrowok="t"/>
            <v:stroke dashstyle="solid"/>
            <w10:wrap type="topAndBottom"/>
          </v:shape>
        </w:pict>
      </w:r>
      <w:r>
        <w:rPr>
          <w:b/>
          <w:color w:val="231F20"/>
        </w:rPr>
        <w:t>Y18. </w:t>
      </w:r>
      <w:r>
        <w:rPr>
          <w:color w:val="231F20"/>
        </w:rPr>
        <w:t>Müşteriler, çalışanlar ve tüm paydaşlarının deneyimlerinden faydalanır.</w:t>
      </w:r>
    </w:p>
    <w:p>
      <w:pPr>
        <w:pStyle w:val="BodyText"/>
        <w:spacing w:before="11" w:after="31"/>
        <w:ind w:left="331"/>
      </w:pPr>
      <w:r>
        <w:rPr>
          <w:b/>
          <w:color w:val="231F20"/>
        </w:rPr>
        <w:t>Y19. </w:t>
      </w:r>
      <w:r>
        <w:rPr>
          <w:color w:val="231F20"/>
        </w:rPr>
        <w:t>Düzenli olarak ve gerektiği anda süratli geri bildirim verir.</w:t>
      </w:r>
    </w:p>
    <w:p>
      <w:pPr>
        <w:pStyle w:val="BodyText"/>
        <w:spacing w:line="20" w:lineRule="exact"/>
        <w:ind w:left="247"/>
        <w:rPr>
          <w:sz w:val="2"/>
        </w:rPr>
      </w:pPr>
      <w:r>
        <w:rPr>
          <w:sz w:val="2"/>
        </w:rPr>
        <w:pict>
          <v:group style="width:377.05pt;height:.5pt;mso-position-horizontal-relative:char;mso-position-vertical-relative:line" coordorigin="0,0" coordsize="7541,10">
            <v:line style="position:absolute" from="0,5" to="7540,5" stroked="true" strokeweight=".5pt" strokecolor="#231f20">
              <v:stroke dashstyle="solid"/>
            </v:line>
          </v:group>
        </w:pict>
      </w:r>
      <w:r>
        <w:rPr>
          <w:sz w:val="2"/>
        </w:rPr>
      </w:r>
    </w:p>
    <w:p>
      <w:pPr>
        <w:pStyle w:val="BodyText"/>
        <w:spacing w:before="6"/>
        <w:rPr>
          <w:sz w:val="16"/>
        </w:rPr>
      </w:pPr>
    </w:p>
    <w:p>
      <w:pPr>
        <w:pStyle w:val="BodyText"/>
        <w:spacing w:line="249" w:lineRule="auto"/>
        <w:ind w:left="252" w:right="248" w:firstLine="567"/>
        <w:jc w:val="both"/>
      </w:pPr>
      <w:r>
        <w:rPr>
          <w:b/>
          <w:color w:val="231F20"/>
        </w:rPr>
        <w:t>Puanlama: </w:t>
      </w:r>
      <w:r>
        <w:rPr>
          <w:color w:val="231F20"/>
        </w:rPr>
        <w:t>Puanlama iki şekilde yapılabilir. Beş dereceli puanlamada; 3,45-5,00 ara- sındaki puan ortalaması yüksek çevik liderlik becerisi algısını, 1,00-2,44 arasındaki puan orta- laması</w:t>
      </w:r>
      <w:r>
        <w:rPr>
          <w:color w:val="231F20"/>
          <w:spacing w:val="-10"/>
        </w:rPr>
        <w:t> </w:t>
      </w:r>
      <w:r>
        <w:rPr>
          <w:color w:val="231F20"/>
        </w:rPr>
        <w:t>düşük</w:t>
      </w:r>
      <w:r>
        <w:rPr>
          <w:color w:val="231F20"/>
          <w:spacing w:val="-9"/>
        </w:rPr>
        <w:t> </w:t>
      </w:r>
      <w:r>
        <w:rPr>
          <w:color w:val="231F20"/>
        </w:rPr>
        <w:t>çevik</w:t>
      </w:r>
      <w:r>
        <w:rPr>
          <w:color w:val="231F20"/>
          <w:spacing w:val="-9"/>
        </w:rPr>
        <w:t> </w:t>
      </w:r>
      <w:r>
        <w:rPr>
          <w:color w:val="231F20"/>
        </w:rPr>
        <w:t>liderlik</w:t>
      </w:r>
      <w:r>
        <w:rPr>
          <w:color w:val="231F20"/>
          <w:spacing w:val="-10"/>
        </w:rPr>
        <w:t> </w:t>
      </w:r>
      <w:r>
        <w:rPr>
          <w:color w:val="231F20"/>
        </w:rPr>
        <w:t>becerisi</w:t>
      </w:r>
      <w:r>
        <w:rPr>
          <w:color w:val="231F20"/>
          <w:spacing w:val="-10"/>
        </w:rPr>
        <w:t> </w:t>
      </w:r>
      <w:r>
        <w:rPr>
          <w:color w:val="231F20"/>
        </w:rPr>
        <w:t>algısını</w:t>
      </w:r>
      <w:r>
        <w:rPr>
          <w:color w:val="231F20"/>
          <w:spacing w:val="-10"/>
        </w:rPr>
        <w:t> </w:t>
      </w:r>
      <w:r>
        <w:rPr>
          <w:color w:val="231F20"/>
        </w:rPr>
        <w:t>gösterir.</w:t>
      </w:r>
      <w:r>
        <w:rPr>
          <w:color w:val="231F20"/>
          <w:spacing w:val="-10"/>
        </w:rPr>
        <w:t> </w:t>
      </w:r>
      <w:r>
        <w:rPr>
          <w:color w:val="231F20"/>
        </w:rPr>
        <w:t>Toplam</w:t>
      </w:r>
      <w:r>
        <w:rPr>
          <w:color w:val="231F20"/>
          <w:spacing w:val="-10"/>
        </w:rPr>
        <w:t> </w:t>
      </w:r>
      <w:r>
        <w:rPr>
          <w:color w:val="231F20"/>
        </w:rPr>
        <w:t>puanlamada</w:t>
      </w:r>
      <w:r>
        <w:rPr>
          <w:color w:val="231F20"/>
          <w:spacing w:val="-10"/>
        </w:rPr>
        <w:t> </w:t>
      </w:r>
      <w:r>
        <w:rPr>
          <w:color w:val="231F20"/>
        </w:rPr>
        <w:t>ise;</w:t>
      </w:r>
      <w:r>
        <w:rPr>
          <w:color w:val="231F20"/>
          <w:spacing w:val="-9"/>
        </w:rPr>
        <w:t> </w:t>
      </w:r>
      <w:r>
        <w:rPr>
          <w:color w:val="231F20"/>
        </w:rPr>
        <w:t>puan</w:t>
      </w:r>
      <w:r>
        <w:rPr>
          <w:color w:val="231F20"/>
          <w:spacing w:val="-9"/>
        </w:rPr>
        <w:t> </w:t>
      </w:r>
      <w:r>
        <w:rPr>
          <w:color w:val="231F20"/>
        </w:rPr>
        <w:t>değerleri</w:t>
      </w:r>
      <w:r>
        <w:rPr>
          <w:color w:val="231F20"/>
          <w:spacing w:val="-10"/>
        </w:rPr>
        <w:t> </w:t>
      </w:r>
      <w:r>
        <w:rPr>
          <w:color w:val="231F20"/>
        </w:rPr>
        <w:t>29 (en</w:t>
      </w:r>
      <w:r>
        <w:rPr>
          <w:color w:val="231F20"/>
          <w:spacing w:val="-7"/>
        </w:rPr>
        <w:t> </w:t>
      </w:r>
      <w:r>
        <w:rPr>
          <w:color w:val="231F20"/>
        </w:rPr>
        <w:t>düşük)</w:t>
      </w:r>
      <w:r>
        <w:rPr>
          <w:color w:val="231F20"/>
          <w:spacing w:val="-7"/>
        </w:rPr>
        <w:t> </w:t>
      </w:r>
      <w:r>
        <w:rPr>
          <w:color w:val="231F20"/>
        </w:rPr>
        <w:t>ile</w:t>
      </w:r>
      <w:r>
        <w:rPr>
          <w:color w:val="231F20"/>
          <w:spacing w:val="-7"/>
        </w:rPr>
        <w:t> </w:t>
      </w:r>
      <w:r>
        <w:rPr>
          <w:color w:val="231F20"/>
        </w:rPr>
        <w:t>145</w:t>
      </w:r>
      <w:r>
        <w:rPr>
          <w:color w:val="231F20"/>
          <w:spacing w:val="-7"/>
        </w:rPr>
        <w:t> </w:t>
      </w:r>
      <w:r>
        <w:rPr>
          <w:color w:val="231F20"/>
        </w:rPr>
        <w:t>(en</w:t>
      </w:r>
      <w:r>
        <w:rPr>
          <w:color w:val="231F20"/>
          <w:spacing w:val="-7"/>
        </w:rPr>
        <w:t> </w:t>
      </w:r>
      <w:r>
        <w:rPr>
          <w:color w:val="231F20"/>
        </w:rPr>
        <w:t>yüksek)</w:t>
      </w:r>
      <w:r>
        <w:rPr>
          <w:color w:val="231F20"/>
          <w:spacing w:val="-7"/>
        </w:rPr>
        <w:t> </w:t>
      </w:r>
      <w:r>
        <w:rPr>
          <w:color w:val="231F20"/>
        </w:rPr>
        <w:t>arasında</w:t>
      </w:r>
      <w:r>
        <w:rPr>
          <w:color w:val="231F20"/>
          <w:spacing w:val="-7"/>
        </w:rPr>
        <w:t> </w:t>
      </w:r>
      <w:r>
        <w:rPr>
          <w:color w:val="231F20"/>
        </w:rPr>
        <w:t>değişir.</w:t>
      </w:r>
      <w:r>
        <w:rPr>
          <w:color w:val="231F20"/>
          <w:spacing w:val="-7"/>
        </w:rPr>
        <w:t> </w:t>
      </w:r>
      <w:r>
        <w:rPr>
          <w:color w:val="231F20"/>
        </w:rPr>
        <w:t>Toplam</w:t>
      </w:r>
      <w:r>
        <w:rPr>
          <w:color w:val="231F20"/>
          <w:spacing w:val="-6"/>
        </w:rPr>
        <w:t> </w:t>
      </w:r>
      <w:r>
        <w:rPr>
          <w:color w:val="231F20"/>
        </w:rPr>
        <w:t>puan</w:t>
      </w:r>
      <w:r>
        <w:rPr>
          <w:color w:val="231F20"/>
          <w:spacing w:val="-7"/>
        </w:rPr>
        <w:t> </w:t>
      </w:r>
      <w:r>
        <w:rPr>
          <w:color w:val="231F20"/>
        </w:rPr>
        <w:t>ortalaması</w:t>
      </w:r>
      <w:r>
        <w:rPr>
          <w:color w:val="231F20"/>
          <w:spacing w:val="-8"/>
        </w:rPr>
        <w:t> </w:t>
      </w:r>
      <w:r>
        <w:rPr>
          <w:color w:val="231F20"/>
        </w:rPr>
        <w:t>29-52</w:t>
      </w:r>
      <w:r>
        <w:rPr>
          <w:color w:val="231F20"/>
          <w:spacing w:val="-7"/>
        </w:rPr>
        <w:t> </w:t>
      </w:r>
      <w:r>
        <w:rPr>
          <w:color w:val="231F20"/>
        </w:rPr>
        <w:t>arasında</w:t>
      </w:r>
      <w:r>
        <w:rPr>
          <w:color w:val="231F20"/>
          <w:spacing w:val="-7"/>
        </w:rPr>
        <w:t> </w:t>
      </w:r>
      <w:r>
        <w:rPr>
          <w:color w:val="231F20"/>
        </w:rPr>
        <w:t>ise</w:t>
      </w:r>
      <w:r>
        <w:rPr>
          <w:color w:val="231F20"/>
          <w:spacing w:val="-7"/>
        </w:rPr>
        <w:t> </w:t>
      </w:r>
      <w:r>
        <w:rPr>
          <w:color w:val="231F20"/>
          <w:spacing w:val="-5"/>
        </w:rPr>
        <w:t>çok </w:t>
      </w:r>
      <w:r>
        <w:rPr>
          <w:color w:val="231F20"/>
        </w:rPr>
        <w:t>düşük düzeyde çevik liderlik becerisi algısı, 53-76 arasında ise düşük düzeyde çevik liderlik becerisi</w:t>
      </w:r>
      <w:r>
        <w:rPr>
          <w:color w:val="231F20"/>
          <w:spacing w:val="-6"/>
        </w:rPr>
        <w:t> </w:t>
      </w:r>
      <w:r>
        <w:rPr>
          <w:color w:val="231F20"/>
        </w:rPr>
        <w:t>algısı,</w:t>
      </w:r>
      <w:r>
        <w:rPr>
          <w:color w:val="231F20"/>
          <w:spacing w:val="-5"/>
        </w:rPr>
        <w:t> </w:t>
      </w:r>
      <w:r>
        <w:rPr>
          <w:color w:val="231F20"/>
        </w:rPr>
        <w:t>77-100</w:t>
      </w:r>
      <w:r>
        <w:rPr>
          <w:color w:val="231F20"/>
          <w:spacing w:val="-5"/>
        </w:rPr>
        <w:t> </w:t>
      </w:r>
      <w:r>
        <w:rPr>
          <w:color w:val="231F20"/>
        </w:rPr>
        <w:t>arasında</w:t>
      </w:r>
      <w:r>
        <w:rPr>
          <w:color w:val="231F20"/>
          <w:spacing w:val="-5"/>
        </w:rPr>
        <w:t> </w:t>
      </w:r>
      <w:r>
        <w:rPr>
          <w:color w:val="231F20"/>
        </w:rPr>
        <w:t>ise</w:t>
      </w:r>
      <w:r>
        <w:rPr>
          <w:color w:val="231F20"/>
          <w:spacing w:val="-5"/>
        </w:rPr>
        <w:t> </w:t>
      </w:r>
      <w:r>
        <w:rPr>
          <w:color w:val="231F20"/>
        </w:rPr>
        <w:t>orta</w:t>
      </w:r>
      <w:r>
        <w:rPr>
          <w:color w:val="231F20"/>
          <w:spacing w:val="-5"/>
        </w:rPr>
        <w:t> </w:t>
      </w:r>
      <w:r>
        <w:rPr>
          <w:color w:val="231F20"/>
        </w:rPr>
        <w:t>düzeyde</w:t>
      </w:r>
      <w:r>
        <w:rPr>
          <w:color w:val="231F20"/>
          <w:spacing w:val="-5"/>
        </w:rPr>
        <w:t> </w:t>
      </w:r>
      <w:r>
        <w:rPr>
          <w:color w:val="231F20"/>
        </w:rPr>
        <w:t>çevik</w:t>
      </w:r>
      <w:r>
        <w:rPr>
          <w:color w:val="231F20"/>
          <w:spacing w:val="-5"/>
        </w:rPr>
        <w:t> </w:t>
      </w:r>
      <w:r>
        <w:rPr>
          <w:color w:val="231F20"/>
        </w:rPr>
        <w:t>liderlik</w:t>
      </w:r>
      <w:r>
        <w:rPr>
          <w:color w:val="231F20"/>
          <w:spacing w:val="-5"/>
        </w:rPr>
        <w:t> </w:t>
      </w:r>
      <w:r>
        <w:rPr>
          <w:color w:val="231F20"/>
        </w:rPr>
        <w:t>becerisi</w:t>
      </w:r>
      <w:r>
        <w:rPr>
          <w:color w:val="231F20"/>
          <w:spacing w:val="-6"/>
        </w:rPr>
        <w:t> </w:t>
      </w:r>
      <w:r>
        <w:rPr>
          <w:color w:val="231F20"/>
        </w:rPr>
        <w:t>algısı,</w:t>
      </w:r>
      <w:r>
        <w:rPr>
          <w:color w:val="231F20"/>
          <w:spacing w:val="-5"/>
        </w:rPr>
        <w:t> </w:t>
      </w:r>
      <w:r>
        <w:rPr>
          <w:color w:val="231F20"/>
        </w:rPr>
        <w:t>101-124</w:t>
      </w:r>
      <w:r>
        <w:rPr>
          <w:color w:val="231F20"/>
          <w:spacing w:val="-5"/>
        </w:rPr>
        <w:t> </w:t>
      </w:r>
      <w:r>
        <w:rPr>
          <w:color w:val="231F20"/>
        </w:rPr>
        <w:t>arasında ise yüksek düzeyde çevik liderlik becerisi algısı, 125-145 arasında ise çok yüksek düzeyde çevik liderlik becerisi algısı olduğunu göstermektedir.</w:t>
      </w:r>
    </w:p>
    <w:p>
      <w:pPr>
        <w:pStyle w:val="BodyText"/>
        <w:spacing w:line="249" w:lineRule="auto" w:before="120"/>
        <w:ind w:left="252" w:right="248" w:firstLine="567"/>
        <w:jc w:val="both"/>
      </w:pPr>
      <w:r>
        <w:rPr>
          <w:color w:val="231F20"/>
        </w:rPr>
        <w:t>Planlama bileşeninde puan değerleri 10(en düşük) ile 50(en yüksek) arasında değişir. Toplam</w:t>
      </w:r>
      <w:r>
        <w:rPr>
          <w:color w:val="231F20"/>
          <w:spacing w:val="-5"/>
        </w:rPr>
        <w:t> </w:t>
      </w:r>
      <w:r>
        <w:rPr>
          <w:color w:val="231F20"/>
        </w:rPr>
        <w:t>puan</w:t>
      </w:r>
      <w:r>
        <w:rPr>
          <w:color w:val="231F20"/>
          <w:spacing w:val="-5"/>
        </w:rPr>
        <w:t> </w:t>
      </w:r>
      <w:r>
        <w:rPr>
          <w:color w:val="231F20"/>
        </w:rPr>
        <w:t>ortalaması</w:t>
      </w:r>
      <w:r>
        <w:rPr>
          <w:color w:val="231F20"/>
          <w:spacing w:val="-5"/>
        </w:rPr>
        <w:t> </w:t>
      </w:r>
      <w:r>
        <w:rPr>
          <w:color w:val="231F20"/>
        </w:rPr>
        <w:t>10-18</w:t>
      </w:r>
      <w:r>
        <w:rPr>
          <w:color w:val="231F20"/>
          <w:spacing w:val="-5"/>
        </w:rPr>
        <w:t> </w:t>
      </w:r>
      <w:r>
        <w:rPr>
          <w:color w:val="231F20"/>
        </w:rPr>
        <w:t>arasında</w:t>
      </w:r>
      <w:r>
        <w:rPr>
          <w:color w:val="231F20"/>
          <w:spacing w:val="-5"/>
        </w:rPr>
        <w:t> </w:t>
      </w:r>
      <w:r>
        <w:rPr>
          <w:color w:val="231F20"/>
        </w:rPr>
        <w:t>ise</w:t>
      </w:r>
      <w:r>
        <w:rPr>
          <w:color w:val="231F20"/>
          <w:spacing w:val="-4"/>
        </w:rPr>
        <w:t> </w:t>
      </w:r>
      <w:r>
        <w:rPr>
          <w:color w:val="231F20"/>
        </w:rPr>
        <w:t>çok</w:t>
      </w:r>
      <w:r>
        <w:rPr>
          <w:color w:val="231F20"/>
          <w:spacing w:val="-5"/>
        </w:rPr>
        <w:t> </w:t>
      </w:r>
      <w:r>
        <w:rPr>
          <w:color w:val="231F20"/>
        </w:rPr>
        <w:t>düşük</w:t>
      </w:r>
      <w:r>
        <w:rPr>
          <w:color w:val="231F20"/>
          <w:spacing w:val="-5"/>
        </w:rPr>
        <w:t> </w:t>
      </w:r>
      <w:r>
        <w:rPr>
          <w:color w:val="231F20"/>
        </w:rPr>
        <w:t>düzeyde</w:t>
      </w:r>
      <w:r>
        <w:rPr>
          <w:color w:val="231F20"/>
          <w:spacing w:val="-5"/>
        </w:rPr>
        <w:t> </w:t>
      </w:r>
      <w:r>
        <w:rPr>
          <w:color w:val="231F20"/>
        </w:rPr>
        <w:t>planlamada</w:t>
      </w:r>
      <w:r>
        <w:rPr>
          <w:color w:val="231F20"/>
          <w:spacing w:val="-5"/>
        </w:rPr>
        <w:t> </w:t>
      </w:r>
      <w:r>
        <w:rPr>
          <w:color w:val="231F20"/>
        </w:rPr>
        <w:t>çevik</w:t>
      </w:r>
      <w:r>
        <w:rPr>
          <w:color w:val="231F20"/>
          <w:spacing w:val="-5"/>
        </w:rPr>
        <w:t> </w:t>
      </w:r>
      <w:r>
        <w:rPr>
          <w:color w:val="231F20"/>
        </w:rPr>
        <w:t>liderlik</w:t>
      </w:r>
      <w:r>
        <w:rPr>
          <w:color w:val="231F20"/>
          <w:spacing w:val="-4"/>
        </w:rPr>
        <w:t> </w:t>
      </w:r>
      <w:r>
        <w:rPr>
          <w:color w:val="231F20"/>
          <w:spacing w:val="-3"/>
        </w:rPr>
        <w:t>bece- </w:t>
      </w:r>
      <w:r>
        <w:rPr>
          <w:color w:val="231F20"/>
        </w:rPr>
        <w:t>risi algısı, 19-27 arasında ise düşük düzeyde planlamada çevik liderlik becerisi algısı, 28-35 arasında ise orta düzeyde planlamada çevik liderlik becerisi algısı, 36-44 arasında ise </w:t>
      </w:r>
      <w:r>
        <w:rPr>
          <w:color w:val="231F20"/>
          <w:spacing w:val="-3"/>
        </w:rPr>
        <w:t>yük-  </w:t>
      </w:r>
      <w:r>
        <w:rPr>
          <w:color w:val="231F20"/>
        </w:rPr>
        <w:t>sek düzeyde planlamada çevik liderlik becerisi algısı, 45-50 arasında ise çok yüksek düzeyde planlamada çevik liderlik becerisi algısı olduğunu göstermektedir. Yöneltme bileşeninde puan değerleri</w:t>
      </w:r>
      <w:r>
        <w:rPr>
          <w:color w:val="231F20"/>
          <w:spacing w:val="-5"/>
        </w:rPr>
        <w:t> </w:t>
      </w:r>
      <w:r>
        <w:rPr>
          <w:color w:val="231F20"/>
        </w:rPr>
        <w:t>19</w:t>
      </w:r>
      <w:r>
        <w:rPr>
          <w:color w:val="231F20"/>
          <w:spacing w:val="-3"/>
        </w:rPr>
        <w:t> </w:t>
      </w:r>
      <w:r>
        <w:rPr>
          <w:color w:val="231F20"/>
        </w:rPr>
        <w:t>(en</w:t>
      </w:r>
      <w:r>
        <w:rPr>
          <w:color w:val="231F20"/>
          <w:spacing w:val="-3"/>
        </w:rPr>
        <w:t> </w:t>
      </w:r>
      <w:r>
        <w:rPr>
          <w:color w:val="231F20"/>
        </w:rPr>
        <w:t>düşük)</w:t>
      </w:r>
      <w:r>
        <w:rPr>
          <w:color w:val="231F20"/>
          <w:spacing w:val="-3"/>
        </w:rPr>
        <w:t> </w:t>
      </w:r>
      <w:r>
        <w:rPr>
          <w:color w:val="231F20"/>
        </w:rPr>
        <w:t>ile</w:t>
      </w:r>
      <w:r>
        <w:rPr>
          <w:color w:val="231F20"/>
          <w:spacing w:val="-3"/>
        </w:rPr>
        <w:t> </w:t>
      </w:r>
      <w:r>
        <w:rPr>
          <w:color w:val="231F20"/>
        </w:rPr>
        <w:t>76</w:t>
      </w:r>
      <w:r>
        <w:rPr>
          <w:color w:val="231F20"/>
          <w:spacing w:val="-3"/>
        </w:rPr>
        <w:t> </w:t>
      </w:r>
      <w:r>
        <w:rPr>
          <w:color w:val="231F20"/>
        </w:rPr>
        <w:t>(en</w:t>
      </w:r>
      <w:r>
        <w:rPr>
          <w:color w:val="231F20"/>
          <w:spacing w:val="-3"/>
        </w:rPr>
        <w:t> </w:t>
      </w:r>
      <w:r>
        <w:rPr>
          <w:color w:val="231F20"/>
        </w:rPr>
        <w:t>yüksek)</w:t>
      </w:r>
      <w:r>
        <w:rPr>
          <w:color w:val="231F20"/>
          <w:spacing w:val="-3"/>
        </w:rPr>
        <w:t> </w:t>
      </w:r>
      <w:r>
        <w:rPr>
          <w:color w:val="231F20"/>
        </w:rPr>
        <w:t>arasında</w:t>
      </w:r>
      <w:r>
        <w:rPr>
          <w:color w:val="231F20"/>
          <w:spacing w:val="-3"/>
        </w:rPr>
        <w:t> </w:t>
      </w:r>
      <w:r>
        <w:rPr>
          <w:color w:val="231F20"/>
        </w:rPr>
        <w:t>değişir.</w:t>
      </w:r>
      <w:r>
        <w:rPr>
          <w:color w:val="231F20"/>
          <w:spacing w:val="-3"/>
        </w:rPr>
        <w:t> </w:t>
      </w:r>
      <w:r>
        <w:rPr>
          <w:color w:val="231F20"/>
        </w:rPr>
        <w:t>Toplam</w:t>
      </w:r>
      <w:r>
        <w:rPr>
          <w:color w:val="231F20"/>
          <w:spacing w:val="-3"/>
        </w:rPr>
        <w:t> </w:t>
      </w:r>
      <w:r>
        <w:rPr>
          <w:color w:val="231F20"/>
        </w:rPr>
        <w:t>puan</w:t>
      </w:r>
      <w:r>
        <w:rPr>
          <w:color w:val="231F20"/>
          <w:spacing w:val="-3"/>
        </w:rPr>
        <w:t> </w:t>
      </w:r>
      <w:r>
        <w:rPr>
          <w:color w:val="231F20"/>
        </w:rPr>
        <w:t>ortalaması</w:t>
      </w:r>
      <w:r>
        <w:rPr>
          <w:color w:val="231F20"/>
          <w:spacing w:val="-4"/>
        </w:rPr>
        <w:t> </w:t>
      </w:r>
      <w:r>
        <w:rPr>
          <w:color w:val="231F20"/>
        </w:rPr>
        <w:t>19-34</w:t>
      </w:r>
      <w:r>
        <w:rPr>
          <w:color w:val="231F20"/>
          <w:spacing w:val="-3"/>
        </w:rPr>
        <w:t> ara- </w:t>
      </w:r>
      <w:r>
        <w:rPr>
          <w:color w:val="231F20"/>
        </w:rPr>
        <w:t>sında</w:t>
      </w:r>
      <w:r>
        <w:rPr>
          <w:color w:val="231F20"/>
          <w:spacing w:val="-7"/>
        </w:rPr>
        <w:t> </w:t>
      </w:r>
      <w:r>
        <w:rPr>
          <w:color w:val="231F20"/>
        </w:rPr>
        <w:t>ise</w:t>
      </w:r>
      <w:r>
        <w:rPr>
          <w:color w:val="231F20"/>
          <w:spacing w:val="-6"/>
        </w:rPr>
        <w:t> </w:t>
      </w:r>
      <w:r>
        <w:rPr>
          <w:color w:val="231F20"/>
        </w:rPr>
        <w:t>çok</w:t>
      </w:r>
      <w:r>
        <w:rPr>
          <w:color w:val="231F20"/>
          <w:spacing w:val="-6"/>
        </w:rPr>
        <w:t> </w:t>
      </w:r>
      <w:r>
        <w:rPr>
          <w:color w:val="231F20"/>
        </w:rPr>
        <w:t>düşük</w:t>
      </w:r>
      <w:r>
        <w:rPr>
          <w:color w:val="231F20"/>
          <w:spacing w:val="-7"/>
        </w:rPr>
        <w:t> </w:t>
      </w:r>
      <w:r>
        <w:rPr>
          <w:color w:val="231F20"/>
        </w:rPr>
        <w:t>düzeyde</w:t>
      </w:r>
      <w:r>
        <w:rPr>
          <w:color w:val="231F20"/>
          <w:spacing w:val="-6"/>
        </w:rPr>
        <w:t> </w:t>
      </w:r>
      <w:r>
        <w:rPr>
          <w:color w:val="231F20"/>
        </w:rPr>
        <w:t>yöneltmede</w:t>
      </w:r>
      <w:r>
        <w:rPr>
          <w:color w:val="231F20"/>
          <w:spacing w:val="-6"/>
        </w:rPr>
        <w:t> </w:t>
      </w:r>
      <w:r>
        <w:rPr>
          <w:color w:val="231F20"/>
        </w:rPr>
        <w:t>çevik</w:t>
      </w:r>
      <w:r>
        <w:rPr>
          <w:color w:val="231F20"/>
          <w:spacing w:val="-7"/>
        </w:rPr>
        <w:t> </w:t>
      </w:r>
      <w:r>
        <w:rPr>
          <w:color w:val="231F20"/>
        </w:rPr>
        <w:t>liderlik</w:t>
      </w:r>
      <w:r>
        <w:rPr>
          <w:color w:val="231F20"/>
          <w:spacing w:val="-6"/>
        </w:rPr>
        <w:t> </w:t>
      </w:r>
      <w:r>
        <w:rPr>
          <w:color w:val="231F20"/>
        </w:rPr>
        <w:t>becerisi</w:t>
      </w:r>
      <w:r>
        <w:rPr>
          <w:color w:val="231F20"/>
          <w:spacing w:val="-6"/>
        </w:rPr>
        <w:t> </w:t>
      </w:r>
      <w:r>
        <w:rPr>
          <w:color w:val="231F20"/>
        </w:rPr>
        <w:t>algısı,</w:t>
      </w:r>
      <w:r>
        <w:rPr>
          <w:color w:val="231F20"/>
          <w:spacing w:val="-6"/>
        </w:rPr>
        <w:t> </w:t>
      </w:r>
      <w:r>
        <w:rPr>
          <w:color w:val="231F20"/>
        </w:rPr>
        <w:t>35-50</w:t>
      </w:r>
      <w:r>
        <w:rPr>
          <w:color w:val="231F20"/>
          <w:spacing w:val="-7"/>
        </w:rPr>
        <w:t> </w:t>
      </w:r>
      <w:r>
        <w:rPr>
          <w:color w:val="231F20"/>
        </w:rPr>
        <w:t>arasında</w:t>
      </w:r>
      <w:r>
        <w:rPr>
          <w:color w:val="231F20"/>
          <w:spacing w:val="-6"/>
        </w:rPr>
        <w:t> </w:t>
      </w:r>
      <w:r>
        <w:rPr>
          <w:color w:val="231F20"/>
        </w:rPr>
        <w:t>ise</w:t>
      </w:r>
      <w:r>
        <w:rPr>
          <w:color w:val="231F20"/>
          <w:spacing w:val="-6"/>
        </w:rPr>
        <w:t> </w:t>
      </w:r>
      <w:r>
        <w:rPr>
          <w:color w:val="231F20"/>
        </w:rPr>
        <w:t>düşük düzeyde yöneltmede çevik liderlik becerisi algısı, 51-66 arasında ise orta düzeyde yöneltme- de çevik liderlik becerisi algısı, 67-82 arasında ise yüksek düzeyde yöneltmede çevik liderlik becerisi</w:t>
      </w:r>
      <w:r>
        <w:rPr>
          <w:color w:val="231F20"/>
          <w:spacing w:val="-5"/>
        </w:rPr>
        <w:t> </w:t>
      </w:r>
      <w:r>
        <w:rPr>
          <w:color w:val="231F20"/>
        </w:rPr>
        <w:t>algısı,</w:t>
      </w:r>
      <w:r>
        <w:rPr>
          <w:color w:val="231F20"/>
          <w:spacing w:val="-4"/>
        </w:rPr>
        <w:t> </w:t>
      </w:r>
      <w:r>
        <w:rPr>
          <w:color w:val="231F20"/>
        </w:rPr>
        <w:t>83-95</w:t>
      </w:r>
      <w:r>
        <w:rPr>
          <w:color w:val="231F20"/>
          <w:spacing w:val="-4"/>
        </w:rPr>
        <w:t> </w:t>
      </w:r>
      <w:r>
        <w:rPr>
          <w:color w:val="231F20"/>
        </w:rPr>
        <w:t>arasında</w:t>
      </w:r>
      <w:r>
        <w:rPr>
          <w:color w:val="231F20"/>
          <w:spacing w:val="-4"/>
        </w:rPr>
        <w:t> </w:t>
      </w:r>
      <w:r>
        <w:rPr>
          <w:color w:val="231F20"/>
        </w:rPr>
        <w:t>ise</w:t>
      </w:r>
      <w:r>
        <w:rPr>
          <w:color w:val="231F20"/>
          <w:spacing w:val="-4"/>
        </w:rPr>
        <w:t> </w:t>
      </w:r>
      <w:r>
        <w:rPr>
          <w:color w:val="231F20"/>
        </w:rPr>
        <w:t>çok</w:t>
      </w:r>
      <w:r>
        <w:rPr>
          <w:color w:val="231F20"/>
          <w:spacing w:val="-4"/>
        </w:rPr>
        <w:t> </w:t>
      </w:r>
      <w:r>
        <w:rPr>
          <w:color w:val="231F20"/>
        </w:rPr>
        <w:t>yüksek</w:t>
      </w:r>
      <w:r>
        <w:rPr>
          <w:color w:val="231F20"/>
          <w:spacing w:val="-4"/>
        </w:rPr>
        <w:t> </w:t>
      </w:r>
      <w:r>
        <w:rPr>
          <w:color w:val="231F20"/>
        </w:rPr>
        <w:t>düzeyde</w:t>
      </w:r>
      <w:r>
        <w:rPr>
          <w:color w:val="231F20"/>
          <w:spacing w:val="-4"/>
        </w:rPr>
        <w:t> </w:t>
      </w:r>
      <w:r>
        <w:rPr>
          <w:color w:val="231F20"/>
        </w:rPr>
        <w:t>yöneltmede</w:t>
      </w:r>
      <w:r>
        <w:rPr>
          <w:color w:val="231F20"/>
          <w:spacing w:val="-4"/>
        </w:rPr>
        <w:t> </w:t>
      </w:r>
      <w:r>
        <w:rPr>
          <w:color w:val="231F20"/>
        </w:rPr>
        <w:t>çevik</w:t>
      </w:r>
      <w:r>
        <w:rPr>
          <w:color w:val="231F20"/>
          <w:spacing w:val="-4"/>
        </w:rPr>
        <w:t> </w:t>
      </w:r>
      <w:r>
        <w:rPr>
          <w:color w:val="231F20"/>
        </w:rPr>
        <w:t>liderlik</w:t>
      </w:r>
      <w:r>
        <w:rPr>
          <w:color w:val="231F20"/>
          <w:spacing w:val="-4"/>
        </w:rPr>
        <w:t> </w:t>
      </w:r>
      <w:r>
        <w:rPr>
          <w:color w:val="231F20"/>
        </w:rPr>
        <w:t>becerisi</w:t>
      </w:r>
      <w:r>
        <w:rPr>
          <w:color w:val="231F20"/>
          <w:spacing w:val="-4"/>
        </w:rPr>
        <w:t> </w:t>
      </w:r>
      <w:r>
        <w:rPr>
          <w:color w:val="231F20"/>
        </w:rPr>
        <w:t>algısı olduğunu göstermektedir.</w:t>
      </w:r>
    </w:p>
    <w:sectPr>
      <w:pgSz w:w="9530" w:h="13610"/>
      <w:pgMar w:header="860" w:footer="344" w:top="1060" w:bottom="54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46.6063pt;margin-top:652.102417pt;width:24pt;height:11pt;mso-position-horizontal-relative:page;mso-position-vertical-relative:page;z-index:-17115648" type="#_x0000_t202" filled="false" stroked="false">
          <v:textbox inset="0,0,0,0">
            <w:txbxContent>
              <w:p>
                <w:pPr>
                  <w:spacing w:line="194" w:lineRule="exact" w:before="0"/>
                  <w:ind w:left="60" w:right="0" w:firstLine="0"/>
                  <w:jc w:val="left"/>
                  <w:rPr>
                    <w:sz w:val="18"/>
                  </w:rPr>
                </w:pPr>
                <w:r>
                  <w:rPr/>
                  <w:fldChar w:fldCharType="begin"/>
                </w:r>
                <w:r>
                  <w:rPr>
                    <w:color w:val="231F20"/>
                    <w:sz w:val="18"/>
                  </w:rPr>
                  <w:instrText> PAGE </w:instrText>
                </w:r>
                <w:r>
                  <w:rPr/>
                  <w:fldChar w:fldCharType="separate"/>
                </w:r>
                <w:r>
                  <w:rPr/>
                  <w:t>1270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5.614014pt;margin-top:652.102417pt;width:24pt;height:11pt;mso-position-horizontal-relative:page;mso-position-vertical-relative:page;z-index:-17115136" type="#_x0000_t202" filled="false" stroked="false">
          <v:textbox inset="0,0,0,0">
            <w:txbxContent>
              <w:p>
                <w:pPr>
                  <w:spacing w:line="194" w:lineRule="exact" w:before="0"/>
                  <w:ind w:left="60" w:right="0" w:firstLine="0"/>
                  <w:jc w:val="left"/>
                  <w:rPr>
                    <w:sz w:val="18"/>
                  </w:rPr>
                </w:pPr>
                <w:r>
                  <w:rPr/>
                  <w:fldChar w:fldCharType="begin"/>
                </w:r>
                <w:r>
                  <w:rPr>
                    <w:color w:val="231F20"/>
                    <w:sz w:val="18"/>
                  </w:rPr>
                  <w:instrText> PAGE </w:instrText>
                </w:r>
                <w:r>
                  <w:rPr/>
                  <w:fldChar w:fldCharType="separate"/>
                </w:r>
                <w:r>
                  <w:rPr/>
                  <w:t>1271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6063pt;margin-top:652.102417pt;width:24pt;height:11pt;mso-position-horizontal-relative:page;mso-position-vertical-relative:page;z-index:-17113600" type="#_x0000_t202" filled="false" stroked="false">
          <v:textbox inset="0,0,0,0">
            <w:txbxContent>
              <w:p>
                <w:pPr>
                  <w:spacing w:line="194" w:lineRule="exact" w:before="0"/>
                  <w:ind w:left="60" w:right="0" w:firstLine="0"/>
                  <w:jc w:val="left"/>
                  <w:rPr>
                    <w:sz w:val="18"/>
                  </w:rPr>
                </w:pPr>
                <w:r>
                  <w:rPr/>
                  <w:fldChar w:fldCharType="begin"/>
                </w:r>
                <w:r>
                  <w:rPr>
                    <w:color w:val="231F20"/>
                    <w:sz w:val="18"/>
                  </w:rPr>
                  <w:instrText> PAGE </w:instrText>
                </w:r>
                <w:r>
                  <w:rPr/>
                  <w:fldChar w:fldCharType="separate"/>
                </w:r>
                <w:r>
                  <w:rPr/>
                  <w:t>1272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5.614014pt;margin-top:652.102417pt;width:24pt;height:11pt;mso-position-horizontal-relative:page;mso-position-vertical-relative:page;z-index:-17113088" type="#_x0000_t202" filled="false" stroked="false">
          <v:textbox inset="0,0,0,0">
            <w:txbxContent>
              <w:p>
                <w:pPr>
                  <w:spacing w:line="194" w:lineRule="exact" w:before="0"/>
                  <w:ind w:left="60" w:right="0" w:firstLine="0"/>
                  <w:jc w:val="left"/>
                  <w:rPr>
                    <w:sz w:val="18"/>
                  </w:rPr>
                </w:pPr>
                <w:r>
                  <w:rPr/>
                  <w:fldChar w:fldCharType="begin"/>
                </w:r>
                <w:r>
                  <w:rPr>
                    <w:color w:val="231F20"/>
                    <w:sz w:val="18"/>
                  </w:rPr>
                  <w:instrText> PAGE </w:instrText>
                </w:r>
                <w:r>
                  <w:rPr/>
                  <w:fldChar w:fldCharType="separate"/>
                </w:r>
                <w:r>
                  <w:rPr/>
                  <w:t>1273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5.198997pt;margin-top:34.024002pt;width:322.5pt;height:20pt;mso-position-horizontal-relative:page;mso-position-vertical-relative:page;z-index:-17114624" type="#_x0000_t202" filled="false" stroked="false">
          <v:textbox inset="0,0,0,0">
            <w:txbxContent>
              <w:p>
                <w:pPr>
                  <w:spacing w:line="261" w:lineRule="auto" w:before="0"/>
                  <w:ind w:left="20" w:right="-17" w:firstLine="1014"/>
                  <w:jc w:val="left"/>
                  <w:rPr>
                    <w:i/>
                    <w:sz w:val="16"/>
                  </w:rPr>
                </w:pPr>
                <w:r>
                  <w:rPr>
                    <w:i/>
                    <w:color w:val="231F20"/>
                    <w:sz w:val="16"/>
                  </w:rPr>
                  <w:t>Uluslararası Yönetim İktisat ve İşletme Dergisi, Cilt 18, Sayı 4, 2022, ss. 1270-1307 </w:t>
                </w:r>
                <w:r>
                  <w:rPr>
                    <w:i/>
                    <w:color w:val="231F20"/>
                    <w:sz w:val="16"/>
                  </w:rPr>
                  <w:t>International Journal of Management Economics and Business, Vol. 18, No. 4, 2022, pp. 1270-1307</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6063pt;margin-top:44.024002pt;width:78.2pt;height:10pt;mso-position-horizontal-relative:page;mso-position-vertical-relative:page;z-index:-17114112" type="#_x0000_t202" filled="false" stroked="false">
          <v:textbox inset="0,0,0,0">
            <w:txbxContent>
              <w:p>
                <w:pPr>
                  <w:spacing w:line="175" w:lineRule="exact" w:before="0"/>
                  <w:ind w:left="20" w:right="0" w:firstLine="0"/>
                  <w:jc w:val="left"/>
                  <w:rPr>
                    <w:i/>
                    <w:sz w:val="16"/>
                  </w:rPr>
                </w:pPr>
                <w:r>
                  <w:rPr>
                    <w:i/>
                    <w:color w:val="231F20"/>
                    <w:sz w:val="16"/>
                  </w:rPr>
                  <w:t>Yonca BİR, Murat KOÇ</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35" w:hanging="284"/>
      </w:pPr>
      <w:rPr>
        <w:rFonts w:hint="default" w:ascii="Times New Roman" w:hAnsi="Times New Roman" w:eastAsia="Times New Roman" w:cs="Times New Roman"/>
        <w:color w:val="231F20"/>
        <w:spacing w:val="-7"/>
        <w:w w:val="97"/>
        <w:sz w:val="20"/>
        <w:szCs w:val="20"/>
        <w:lang w:val="tr-TR" w:eastAsia="en-US" w:bidi="ar-SA"/>
      </w:rPr>
    </w:lvl>
    <w:lvl w:ilvl="1">
      <w:start w:val="0"/>
      <w:numFmt w:val="bullet"/>
      <w:lvlText w:val="•"/>
      <w:lvlJc w:val="left"/>
      <w:pPr>
        <w:ind w:left="1290" w:hanging="284"/>
      </w:pPr>
      <w:rPr>
        <w:rFonts w:hint="default"/>
        <w:lang w:val="tr-TR" w:eastAsia="en-US" w:bidi="ar-SA"/>
      </w:rPr>
    </w:lvl>
    <w:lvl w:ilvl="2">
      <w:start w:val="0"/>
      <w:numFmt w:val="bullet"/>
      <w:lvlText w:val="•"/>
      <w:lvlJc w:val="left"/>
      <w:pPr>
        <w:ind w:left="2040" w:hanging="284"/>
      </w:pPr>
      <w:rPr>
        <w:rFonts w:hint="default"/>
        <w:lang w:val="tr-TR" w:eastAsia="en-US" w:bidi="ar-SA"/>
      </w:rPr>
    </w:lvl>
    <w:lvl w:ilvl="3">
      <w:start w:val="0"/>
      <w:numFmt w:val="bullet"/>
      <w:lvlText w:val="•"/>
      <w:lvlJc w:val="left"/>
      <w:pPr>
        <w:ind w:left="2791" w:hanging="284"/>
      </w:pPr>
      <w:rPr>
        <w:rFonts w:hint="default"/>
        <w:lang w:val="tr-TR" w:eastAsia="en-US" w:bidi="ar-SA"/>
      </w:rPr>
    </w:lvl>
    <w:lvl w:ilvl="4">
      <w:start w:val="0"/>
      <w:numFmt w:val="bullet"/>
      <w:lvlText w:val="•"/>
      <w:lvlJc w:val="left"/>
      <w:pPr>
        <w:ind w:left="3541" w:hanging="284"/>
      </w:pPr>
      <w:rPr>
        <w:rFonts w:hint="default"/>
        <w:lang w:val="tr-TR" w:eastAsia="en-US" w:bidi="ar-SA"/>
      </w:rPr>
    </w:lvl>
    <w:lvl w:ilvl="5">
      <w:start w:val="0"/>
      <w:numFmt w:val="bullet"/>
      <w:lvlText w:val="•"/>
      <w:lvlJc w:val="left"/>
      <w:pPr>
        <w:ind w:left="4292" w:hanging="284"/>
      </w:pPr>
      <w:rPr>
        <w:rFonts w:hint="default"/>
        <w:lang w:val="tr-TR" w:eastAsia="en-US" w:bidi="ar-SA"/>
      </w:rPr>
    </w:lvl>
    <w:lvl w:ilvl="6">
      <w:start w:val="0"/>
      <w:numFmt w:val="bullet"/>
      <w:lvlText w:val="•"/>
      <w:lvlJc w:val="left"/>
      <w:pPr>
        <w:ind w:left="5042" w:hanging="284"/>
      </w:pPr>
      <w:rPr>
        <w:rFonts w:hint="default"/>
        <w:lang w:val="tr-TR" w:eastAsia="en-US" w:bidi="ar-SA"/>
      </w:rPr>
    </w:lvl>
    <w:lvl w:ilvl="7">
      <w:start w:val="0"/>
      <w:numFmt w:val="bullet"/>
      <w:lvlText w:val="•"/>
      <w:lvlJc w:val="left"/>
      <w:pPr>
        <w:ind w:left="5793" w:hanging="284"/>
      </w:pPr>
      <w:rPr>
        <w:rFonts w:hint="default"/>
        <w:lang w:val="tr-TR" w:eastAsia="en-US" w:bidi="ar-SA"/>
      </w:rPr>
    </w:lvl>
    <w:lvl w:ilvl="8">
      <w:start w:val="0"/>
      <w:numFmt w:val="bullet"/>
      <w:lvlText w:val="•"/>
      <w:lvlJc w:val="left"/>
      <w:pPr>
        <w:ind w:left="6543" w:hanging="284"/>
      </w:pPr>
      <w:rPr>
        <w:rFonts w:hint="default"/>
        <w:lang w:val="tr-TR" w:eastAsia="en-US" w:bidi="ar-SA"/>
      </w:rPr>
    </w:lvl>
  </w:abstractNum>
  <w:abstractNum w:abstractNumId="0">
    <w:multiLevelType w:val="hybridMultilevel"/>
    <w:lvl w:ilvl="0">
      <w:start w:val="1"/>
      <w:numFmt w:val="decimal"/>
      <w:lvlText w:val="%1."/>
      <w:lvlJc w:val="left"/>
      <w:pPr>
        <w:ind w:left="452" w:hanging="200"/>
        <w:jc w:val="left"/>
      </w:pPr>
      <w:rPr>
        <w:rFonts w:hint="default" w:ascii="Times New Roman" w:hAnsi="Times New Roman" w:eastAsia="Times New Roman" w:cs="Times New Roman"/>
        <w:b/>
        <w:bCs/>
        <w:color w:val="034694"/>
        <w:w w:val="100"/>
        <w:sz w:val="20"/>
        <w:szCs w:val="20"/>
        <w:lang w:val="tr-TR" w:eastAsia="en-US" w:bidi="ar-SA"/>
      </w:rPr>
    </w:lvl>
    <w:lvl w:ilvl="1">
      <w:start w:val="1"/>
      <w:numFmt w:val="decimal"/>
      <w:lvlText w:val="%1.%2."/>
      <w:lvlJc w:val="left"/>
      <w:pPr>
        <w:ind w:left="598" w:hanging="347"/>
        <w:jc w:val="left"/>
      </w:pPr>
      <w:rPr>
        <w:rFonts w:hint="default" w:ascii="Times New Roman" w:hAnsi="Times New Roman" w:eastAsia="Times New Roman" w:cs="Times New Roman"/>
        <w:b/>
        <w:bCs/>
        <w:color w:val="034694"/>
        <w:w w:val="100"/>
        <w:sz w:val="20"/>
        <w:szCs w:val="20"/>
        <w:lang w:val="tr-TR" w:eastAsia="en-US" w:bidi="ar-SA"/>
      </w:rPr>
    </w:lvl>
    <w:lvl w:ilvl="2">
      <w:start w:val="1"/>
      <w:numFmt w:val="decimal"/>
      <w:lvlText w:val="%1.%2.%3."/>
      <w:lvlJc w:val="left"/>
      <w:pPr>
        <w:ind w:left="752" w:hanging="500"/>
        <w:jc w:val="left"/>
      </w:pPr>
      <w:rPr>
        <w:rFonts w:hint="default" w:ascii="Times New Roman" w:hAnsi="Times New Roman" w:eastAsia="Times New Roman" w:cs="Times New Roman"/>
        <w:b/>
        <w:bCs/>
        <w:color w:val="034694"/>
        <w:w w:val="100"/>
        <w:sz w:val="20"/>
        <w:szCs w:val="20"/>
        <w:lang w:val="tr-TR" w:eastAsia="en-US" w:bidi="ar-SA"/>
      </w:rPr>
    </w:lvl>
    <w:lvl w:ilvl="3">
      <w:start w:val="0"/>
      <w:numFmt w:val="bullet"/>
      <w:lvlText w:val="•"/>
      <w:lvlJc w:val="left"/>
      <w:pPr>
        <w:ind w:left="760" w:hanging="500"/>
      </w:pPr>
      <w:rPr>
        <w:rFonts w:hint="default"/>
        <w:lang w:val="tr-TR" w:eastAsia="en-US" w:bidi="ar-SA"/>
      </w:rPr>
    </w:lvl>
    <w:lvl w:ilvl="4">
      <w:start w:val="0"/>
      <w:numFmt w:val="bullet"/>
      <w:lvlText w:val="•"/>
      <w:lvlJc w:val="left"/>
      <w:pPr>
        <w:ind w:left="1800" w:hanging="500"/>
      </w:pPr>
      <w:rPr>
        <w:rFonts w:hint="default"/>
        <w:lang w:val="tr-TR" w:eastAsia="en-US" w:bidi="ar-SA"/>
      </w:rPr>
    </w:lvl>
    <w:lvl w:ilvl="5">
      <w:start w:val="0"/>
      <w:numFmt w:val="bullet"/>
      <w:lvlText w:val="•"/>
      <w:lvlJc w:val="left"/>
      <w:pPr>
        <w:ind w:left="2841" w:hanging="500"/>
      </w:pPr>
      <w:rPr>
        <w:rFonts w:hint="default"/>
        <w:lang w:val="tr-TR" w:eastAsia="en-US" w:bidi="ar-SA"/>
      </w:rPr>
    </w:lvl>
    <w:lvl w:ilvl="6">
      <w:start w:val="0"/>
      <w:numFmt w:val="bullet"/>
      <w:lvlText w:val="•"/>
      <w:lvlJc w:val="left"/>
      <w:pPr>
        <w:ind w:left="3881" w:hanging="500"/>
      </w:pPr>
      <w:rPr>
        <w:rFonts w:hint="default"/>
        <w:lang w:val="tr-TR" w:eastAsia="en-US" w:bidi="ar-SA"/>
      </w:rPr>
    </w:lvl>
    <w:lvl w:ilvl="7">
      <w:start w:val="0"/>
      <w:numFmt w:val="bullet"/>
      <w:lvlText w:val="•"/>
      <w:lvlJc w:val="left"/>
      <w:pPr>
        <w:ind w:left="4922" w:hanging="500"/>
      </w:pPr>
      <w:rPr>
        <w:rFonts w:hint="default"/>
        <w:lang w:val="tr-TR" w:eastAsia="en-US" w:bidi="ar-SA"/>
      </w:rPr>
    </w:lvl>
    <w:lvl w:ilvl="8">
      <w:start w:val="0"/>
      <w:numFmt w:val="bullet"/>
      <w:lvlText w:val="•"/>
      <w:lvlJc w:val="left"/>
      <w:pPr>
        <w:ind w:left="5963" w:hanging="500"/>
      </w:pPr>
      <w:rPr>
        <w:rFonts w:hint="default"/>
        <w:lang w:val="tr-T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tr-TR" w:eastAsia="en-US" w:bidi="ar-SA"/>
    </w:rPr>
  </w:style>
  <w:style w:styleId="Heading1" w:type="paragraph">
    <w:name w:val="Heading 1"/>
    <w:basedOn w:val="Normal"/>
    <w:uiPriority w:val="1"/>
    <w:qFormat/>
    <w:pPr>
      <w:ind w:left="252"/>
      <w:outlineLvl w:val="1"/>
    </w:pPr>
    <w:rPr>
      <w:rFonts w:ascii="Times New Roman" w:hAnsi="Times New Roman" w:eastAsia="Times New Roman" w:cs="Times New Roman"/>
      <w:b/>
      <w:bCs/>
      <w:sz w:val="20"/>
      <w:szCs w:val="20"/>
      <w:lang w:val="tr-TR" w:eastAsia="en-US" w:bidi="ar-SA"/>
    </w:rPr>
  </w:style>
  <w:style w:styleId="Title" w:type="paragraph">
    <w:name w:val="Title"/>
    <w:basedOn w:val="Normal"/>
    <w:uiPriority w:val="1"/>
    <w:qFormat/>
    <w:pPr>
      <w:spacing w:before="60"/>
      <w:ind w:left="110" w:right="29" w:hanging="1"/>
    </w:pPr>
    <w:rPr>
      <w:rFonts w:ascii="Times New Roman" w:hAnsi="Times New Roman" w:eastAsia="Times New Roman" w:cs="Times New Roman"/>
      <w:b/>
      <w:bCs/>
      <w:sz w:val="22"/>
      <w:szCs w:val="22"/>
      <w:lang w:val="tr-TR" w:eastAsia="en-US" w:bidi="ar-SA"/>
    </w:rPr>
  </w:style>
  <w:style w:styleId="ListParagraph" w:type="paragraph">
    <w:name w:val="List Paragraph"/>
    <w:basedOn w:val="Normal"/>
    <w:uiPriority w:val="1"/>
    <w:qFormat/>
    <w:pPr>
      <w:ind w:left="535" w:hanging="284"/>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spacing w:before="40"/>
    </w:pPr>
    <w:rPr>
      <w:rFonts w:ascii="Times New Roman" w:hAnsi="Times New Roman" w:eastAsia="Times New Roman" w:cs="Times New Roman"/>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ijmeb.org/" TargetMode="External"/><Relationship Id="rId10" Type="http://schemas.openxmlformats.org/officeDocument/2006/relationships/hyperlink" Target="http://dx.doi.org/10.17130/ijmeb.1166705"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hyperlink" Target="https://stat.utexas.edu/" TargetMode="External"/><Relationship Id="rId18" Type="http://schemas.openxmlformats.org/officeDocument/2006/relationships/image" Target="media/image5.jpe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hyperlink" Target="https://doi.org/10.17265/2328-2185/2020.02.005" TargetMode="External"/><Relationship Id="rId25" Type="http://schemas.openxmlformats.org/officeDocument/2006/relationships/hyperlink" Target="https://blog.adgager.com/vuca-nedir-vuca-dunyasinda-nasil-hayatta-kalirsiniz/" TargetMode="External"/><Relationship Id="rId26" Type="http://schemas.openxmlformats.org/officeDocument/2006/relationships/hyperlink" Target="https://doi.org/10.35408/comuybd.769685" TargetMode="External"/><Relationship Id="rId27" Type="http://schemas.openxmlformats.org/officeDocument/2006/relationships/hyperlink" Target="https://doi.org/10.35408/comuybd.%20681427" TargetMode="External"/><Relationship Id="rId28" Type="http://schemas.openxmlformats.org/officeDocument/2006/relationships/hyperlink" Target="http://dx.doi.org/10.21714/2238-104X2018v8i2S-40869" TargetMode="External"/><Relationship Id="rId29" Type="http://schemas.openxmlformats.org/officeDocument/2006/relationships/hyperlink" Target="https://doi.org/10.5222/SHYD.2020.69772" TargetMode="External"/><Relationship Id="rId30" Type="http://schemas.openxmlformats.org/officeDocument/2006/relationships/hyperlink" Target="https://doi.org/10.1108/978-1-80043-380-920201011" TargetMode="External"/><Relationship Id="rId31" Type="http://schemas.openxmlformats.org/officeDocument/2006/relationships/hyperlink" Target="https://doi.org/10.1016/j.orgdyn.2020.100787" TargetMode="External"/><Relationship Id="rId32" Type="http://schemas.openxmlformats.org/officeDocument/2006/relationships/hyperlink" Target="https://www.axelos.com/news/blogs/november-2019/vuca-prime-the-answer-to-a-vuca-dynamic" TargetMode="External"/><Relationship Id="rId33" Type="http://schemas.openxmlformats.org/officeDocument/2006/relationships/hyperlink" Target="https://www.forbes.com/sites/forbescoachescouncil/2020/06/17/15-key-qualities-that-define-an-agile-leader/?sh=31f186917f31" TargetMode="External"/><Relationship Id="rId34" Type="http://schemas.openxmlformats.org/officeDocument/2006/relationships/hyperlink" Target="https://doi.org/10.1177/0049124192021002004" TargetMode="External"/><Relationship Id="rId35" Type="http://schemas.openxmlformats.org/officeDocument/2006/relationships/hyperlink" Target="https://doi.org/10.1108/978-1-78714-242-820171003" TargetMode="External"/><Relationship Id="rId36" Type="http://schemas.openxmlformats.org/officeDocument/2006/relationships/hyperlink" Target="https://doi.org/10.30837/2522-9818.2019.10.077" TargetMode="External"/><Relationship Id="rId37" Type="http://schemas.openxmlformats.org/officeDocument/2006/relationships/hyperlink" Target="https://doi.org/10.1016/j.orgdyn.2013.06.002" TargetMode="External"/><Relationship Id="rId38" Type="http://schemas.openxmlformats.org/officeDocument/2006/relationships/hyperlink" Target="https://doi.org/10.1016/j.techfore.2022.121602" TargetMode="External"/><Relationship Id="rId39" Type="http://schemas.openxmlformats.org/officeDocument/2006/relationships/hyperlink" Target="https://doi.org/10.1108/978-1-80043-380-920201002" TargetMode="External"/><Relationship Id="rId40" Type="http://schemas.openxmlformats.org/officeDocument/2006/relationships/hyperlink" Target="https://www.abacademies.org/articles/design-thinking-organizational-learning-in-vuca-environments-7117.html" TargetMode="External"/><Relationship Id="rId41" Type="http://schemas.openxmlformats.org/officeDocument/2006/relationships/hyperlink" Target="https://doi.org/10.1016/j.brat.2004.06.008" TargetMode="External"/><Relationship Id="rId42" Type="http://schemas.openxmlformats.org/officeDocument/2006/relationships/hyperlink" Target="https://doi.org/10.1016/S1535-1203(06)04017-2" TargetMode="External"/><Relationship Id="rId43" Type="http://schemas.openxmlformats.org/officeDocument/2006/relationships/hyperlink" Target="https://doi.org/10.1177/002224378101800313" TargetMode="External"/><Relationship Id="rId44" Type="http://schemas.openxmlformats.org/officeDocument/2006/relationships/hyperlink" Target="https://10.1016/j.promfg.2020.02.167" TargetMode="External"/><Relationship Id="rId45" Type="http://schemas.openxmlformats.org/officeDocument/2006/relationships/hyperlink" Target="http://reelpiyasalar.com/" TargetMode="External"/><Relationship Id="rId46" Type="http://schemas.openxmlformats.org/officeDocument/2006/relationships/hyperlink" Target="http://dx.doi.org/10.1108/JMD-09-2015-0121" TargetMode="External"/><Relationship Id="rId47" Type="http://schemas.openxmlformats.org/officeDocument/2006/relationships/hyperlink" Target="https://doi.org/10.1080/10705519909540118" TargetMode="External"/><Relationship Id="rId48" Type="http://schemas.openxmlformats.org/officeDocument/2006/relationships/hyperlink" Target="https://doi.org/10.5437/08956308X5601003" TargetMode="External"/><Relationship Id="rId49" Type="http://schemas.openxmlformats.org/officeDocument/2006/relationships/hyperlink" Target="https://doi.org/10.4324/9781315812274" TargetMode="External"/><Relationship Id="rId50" Type="http://schemas.openxmlformats.org/officeDocument/2006/relationships/hyperlink" Target="https://dx.doi.org/10.1016/j.giq.2016.07.004" TargetMode="External"/><Relationship Id="rId51" Type="http://schemas.openxmlformats.org/officeDocument/2006/relationships/hyperlink" Target="http://researchonline.ljmu.ac.uk/iFd/eprint/12960/1/coronavirus-workforceredundancies_20200402T170659.pdf" TargetMode="External"/><Relationship Id="rId52" Type="http://schemas.openxmlformats.org/officeDocument/2006/relationships/hyperlink" Target="http://hdl.handle.net/2263/68794" TargetMode="External"/><Relationship Id="rId53" Type="http://schemas.openxmlformats.org/officeDocument/2006/relationships/hyperlink" Target="https://pmi-portland.org/" TargetMode="External"/><Relationship Id="rId54" Type="http://schemas.openxmlformats.org/officeDocument/2006/relationships/hyperlink" Target="https://doi10.1108jmd-09-2013-0/" TargetMode="External"/><Relationship Id="rId55" Type="http://schemas.openxmlformats.org/officeDocument/2006/relationships/hyperlink" Target="https://doi.org/10.1080/713611436" TargetMode="External"/><Relationship Id="rId56" Type="http://schemas.openxmlformats.org/officeDocument/2006/relationships/hyperlink" Target="https://doi.org/10.1111/j.1369-7625.2009.00584.x" TargetMode="External"/><Relationship Id="rId57" Type="http://schemas.openxmlformats.org/officeDocument/2006/relationships/hyperlink" Target="https://www.eremedia.com/" TargetMode="External"/><Relationship Id="rId58" Type="http://schemas.openxmlformats.org/officeDocument/2006/relationships/hyperlink" Target="https://doi.org/10.1177/1523422308316450" TargetMode="External"/><Relationship Id="rId59" Type="http://schemas.openxmlformats.org/officeDocument/2006/relationships/hyperlink" Target="https://www.forbes.com/sites/forbescoachescouncil/2020/06/17/15-key-qualities-that-define-an-agile-leader/?sh=2314c4467f31" TargetMode="External"/><Relationship Id="rId60" Type="http://schemas.openxmlformats.org/officeDocument/2006/relationships/hyperlink" Target="https://stat.utexas.edu/software-faqs/amos" TargetMode="External"/><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2023-01-07T06:59:49Z</dcterms:created>
  <dcterms:modified xsi:type="dcterms:W3CDTF">2023-01-07T06:59:49Z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2022-12-22T00:00:00Z</vt:filetime>
  </property>
  <property fmtid="{D5CDD505-2E9C-101B-9397-08002B2CF9AE}" pid="3" name="Creator">
    <vt:lpwstr>Adobe InDesign 15.0 (Macintosh)</vt:lpwstr>
  </property>
  <property fmtid="{D5CDD505-2E9C-101B-9397-08002B2CF9AE}" pid="4" name="LastSaved">
    <vt:filetime>2023-01-07T00:00:00Z</vt:filetime>
  </property>
</Properties>
</file>