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B7E1" w14:textId="77777777" w:rsidR="00A649C5" w:rsidRPr="009A4F42" w:rsidRDefault="00A649C5" w:rsidP="00A649C5">
      <w:pPr>
        <w:jc w:val="both"/>
        <w:rPr>
          <w:sz w:val="24"/>
          <w:szCs w:val="24"/>
        </w:rPr>
      </w:pPr>
    </w:p>
    <w:p w14:paraId="38205962" w14:textId="26C6D136" w:rsidR="00F12EC7" w:rsidRDefault="00C50605" w:rsidP="00C50605">
      <w:pPr>
        <w:pStyle w:val="Balk1"/>
        <w:keepLines/>
        <w:jc w:val="center"/>
      </w:pPr>
      <w:bookmarkStart w:id="0" w:name="_pik4g4hk0zw7" w:colFirst="0" w:colLast="0"/>
      <w:bookmarkEnd w:id="0"/>
      <w:r>
        <w:rPr>
          <w:szCs w:val="24"/>
        </w:rPr>
        <w:t>YAŞLILARDA EĞİTİME KATILIM ÖLÇEĞİ</w:t>
      </w:r>
    </w:p>
    <w:p w14:paraId="4C11C4AA" w14:textId="7BE7DEFE" w:rsid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0962A672" w14:textId="289813BF" w:rsidR="00984468" w:rsidRDefault="0098446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6D3A3FEE" w14:textId="5C2604FA" w:rsidR="00984468" w:rsidRDefault="0098446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p w14:paraId="3999E328" w14:textId="77777777" w:rsidR="00984468" w:rsidRPr="00563B18" w:rsidRDefault="0098446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pPr w:leftFromText="141" w:rightFromText="141" w:vertAnchor="text" w:tblpY="1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29"/>
        <w:gridCol w:w="17"/>
      </w:tblGrid>
      <w:tr w:rsidR="00984468" w:rsidRPr="001F7CAC" w14:paraId="7CE6160D" w14:textId="738B4465" w:rsidTr="00984468">
        <w:trPr>
          <w:gridAfter w:val="1"/>
          <w:wAfter w:w="17" w:type="dxa"/>
          <w:trHeight w:hRule="exact" w:val="1066"/>
        </w:trPr>
        <w:tc>
          <w:tcPr>
            <w:tcW w:w="1024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29336" w14:textId="1892CD04" w:rsidR="00984468" w:rsidRPr="00691A07" w:rsidRDefault="00984468" w:rsidP="00984468">
            <w:pPr>
              <w:spacing w:after="60"/>
              <w:jc w:val="both"/>
            </w:pPr>
            <w:r w:rsidRPr="00A649C5">
              <w:t xml:space="preserve">Aşağıda </w:t>
            </w:r>
            <w:r>
              <w:t>eğitime katılmanızı etkileyecek unsurlara yönelik 30 ifade bulunmaktadır. Her bir ifadeyi dikkatlice okuyunuz ve sizin için en geçerli cevaba (X) işareti koyunuz. Lütfen hiçbir cümleyi cevapsız bırakmayınız. Katkılarınız için teşekkürler.</w:t>
            </w:r>
          </w:p>
          <w:p w14:paraId="3DC65635" w14:textId="355F732E" w:rsidR="00984468" w:rsidRPr="00A649C5" w:rsidRDefault="00984468" w:rsidP="00984468">
            <w:pPr>
              <w:ind w:left="176" w:hanging="218"/>
              <w:jc w:val="both"/>
            </w:pPr>
            <w:r w:rsidRPr="00691A07">
              <w:t>1</w:t>
            </w:r>
            <w:r w:rsidRPr="00A649C5">
              <w:t xml:space="preserve"> </w:t>
            </w:r>
            <w:r>
              <w:t xml:space="preserve">Etkisi </w:t>
            </w:r>
            <w:proofErr w:type="gramStart"/>
            <w:r>
              <w:t>Yok</w:t>
            </w:r>
            <w:r>
              <w:rPr>
                <w:b/>
              </w:rPr>
              <w:t xml:space="preserve">  </w:t>
            </w:r>
            <w:r w:rsidRPr="00691A07">
              <w:t>2</w:t>
            </w:r>
            <w:proofErr w:type="gramEnd"/>
            <w:r w:rsidRPr="00691A07">
              <w:t xml:space="preserve">= </w:t>
            </w:r>
            <w:r>
              <w:t>Çok Az Etkili</w:t>
            </w:r>
            <w:r w:rsidRPr="00A649C5">
              <w:t xml:space="preserve">    </w:t>
            </w:r>
            <w:r w:rsidRPr="00691A07">
              <w:t>3=</w:t>
            </w:r>
            <w:r>
              <w:t xml:space="preserve"> Biraz Etkili</w:t>
            </w:r>
            <w:r w:rsidRPr="00A649C5">
              <w:t xml:space="preserve">      </w:t>
            </w:r>
            <w:r w:rsidRPr="00691A07">
              <w:t>4=</w:t>
            </w:r>
            <w:r>
              <w:t xml:space="preserve"> Çok Etkili</w:t>
            </w:r>
            <w:r w:rsidRPr="00691A07">
              <w:t xml:space="preserve"> anlamına gelmektedir.</w:t>
            </w:r>
          </w:p>
        </w:tc>
      </w:tr>
      <w:tr w:rsidR="00984468" w:rsidRPr="001F7CAC" w14:paraId="63B39C1E" w14:textId="77777777" w:rsidTr="00984468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21E8F905" w14:textId="73003D47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Dil becerilerimi geliştirmek için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A5F7E2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233C04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DC25804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23B792B5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2117F6E7" w14:textId="77777777" w:rsidTr="00984468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7C79209B" w14:textId="6C1253F9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Dost kazanmak için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E4E839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ADBE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EF4676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1C6F010C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35CB7CAA" w14:textId="77777777" w:rsidTr="00984468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2F67B11E" w14:textId="414273CD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Aile yaşamımdaki değişikliklere uyum sağlamak için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802A464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6957A9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54C53C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3B1F7CA4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5D147733" w14:textId="77777777" w:rsidTr="00984468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5A7A44EC" w14:textId="07C964FA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Günlük yaşamın sıkıntısını üzerimden atmak için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B2F04C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EB94FEE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3C1968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1AA76A40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75717E89" w14:textId="77777777" w:rsidTr="00984468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752DC354" w14:textId="542DF60D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Yaşamıma anlam katmak için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AB6B9E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4C8137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05D55A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3AD6A447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3FE8E7B4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552B" w14:textId="33C9391D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Daha iyi konuşmak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5B707170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B157" w14:textId="3ABFAEBC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Arkadaşlarla hoş vakit geçirmek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7E0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667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34137CA0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CE7A" w14:textId="04E726FF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Eşimle ortak bir ilgiyi paylaşmak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522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00D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53B1A0A2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E475" w14:textId="64AC0FA8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Yalnızlıktan kurtulmak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F98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27E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074A0305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4D0D" w14:textId="60F8E714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Genel kültürümü artırmak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2A3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4CE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7884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616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132003C4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8F3D" w14:textId="0A098596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Başka bir dil öğrenmek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863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CD8B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3472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949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39A5E730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3F7C" w14:textId="53ECFAC8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Farklı insanlarla tanışmak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440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AAD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700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822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1580B775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E6CD" w14:textId="35906165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Diğer aile bireylerine ayak uydurabilmek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035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A8A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D32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D08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725E2B34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BDE1" w14:textId="1ECFBD8C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Can sıkıntısından kurtulmak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C75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10A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76A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B9F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0E365174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6D51" w14:textId="0D85999A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Sadece öğrenmekten zevk aldığım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6FA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1AC2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5AB8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14E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984468" w:rsidRPr="001F7CAC" w14:paraId="717F0CA2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841D" w14:textId="2CC2B571" w:rsidR="00984468" w:rsidRPr="00A9002A" w:rsidRDefault="00984468" w:rsidP="00984468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>
              <w:t>Daha iyi yazmak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67C" w14:textId="77777777" w:rsidR="00984468" w:rsidRPr="0081694C" w:rsidRDefault="00984468" w:rsidP="00984468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6BE" w14:textId="77777777" w:rsidR="00984468" w:rsidRPr="0081694C" w:rsidRDefault="00984468" w:rsidP="00984468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7CBD" w14:textId="77777777" w:rsidR="00984468" w:rsidRPr="0081694C" w:rsidRDefault="00984468" w:rsidP="00984468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5712" w14:textId="77777777" w:rsidR="00984468" w:rsidRPr="0081694C" w:rsidRDefault="00984468" w:rsidP="00984468">
            <w:pPr>
              <w:jc w:val="center"/>
            </w:pPr>
            <w:r w:rsidRPr="0081694C">
              <w:t>4</w:t>
            </w:r>
          </w:p>
        </w:tc>
      </w:tr>
      <w:tr w:rsidR="00FE61E5" w:rsidRPr="001F7CAC" w14:paraId="5903A543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4DF1" w14:textId="44B78CE3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Arkadaşlar edinmek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0CC9" w14:textId="09E0EDBB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6CFC" w14:textId="150CE36C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E3F3" w14:textId="2A7D5A76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CA67" w14:textId="26042B7F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28E43489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35F" w14:textId="50A4BC54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Çocuklarımdan geri kalmamak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EF93" w14:textId="09057DAF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8662" w14:textId="32B34E2F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4F57" w14:textId="23CB2FFA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B29F" w14:textId="44FC4790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104E81DC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4F80" w14:textId="5AD9B084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Ev veya iş yaşamının tekdüzeliğinden kurtulmak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9BF2" w14:textId="1D522C91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076" w14:textId="74847490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8EFE" w14:textId="1878B9DE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77E" w14:textId="6A7F2F5F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3A4973A5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B92F" w14:textId="6C559529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Merakımı gidermek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9E1" w14:textId="2C49326B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D35A" w14:textId="0F2003B9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22FF" w14:textId="5A3B834F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1DB" w14:textId="382942E5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1B8E3DDE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EA6C" w14:textId="2A48449A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İnsanların söylediklerini ve yazdıklarını anlamak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EF94" w14:textId="21F812D3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B90A" w14:textId="44F6F501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77EA" w14:textId="512204B9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08E" w14:textId="211C137D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2AA02130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9CCD" w14:textId="317C816B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Yeni arkadaşlar edinmek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40C9" w14:textId="4D245390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078" w14:textId="05A69B26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3015" w14:textId="639AC07E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49DC" w14:textId="42D78AC0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22DBAFA5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7581" w14:textId="107DA590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Çocuklarımın sorduğu sorulara cevap verebilmek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22D" w14:textId="61F2AD95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39CB" w14:textId="35FA120F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0B97" w14:textId="559396A0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0F5" w14:textId="1A06556A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2FB35EE1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EEFD" w14:textId="3F4547ED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Boş durmaktansa bir şeyler yapmak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49A2" w14:textId="00077C75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115" w14:textId="3A3E49C7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3551" w14:textId="02A136C2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313B" w14:textId="7DBE5AF5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5C5CD4FA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C08D" w14:textId="5FE514EE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Sadece bilgi edinmiş olmak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C985" w14:textId="0AB468D6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ED86" w14:textId="46269FA6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55" w14:textId="52C78F33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DA0B" w14:textId="4CCD86F2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4DDC04C3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CB59" w14:textId="7260D363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 xml:space="preserve">Buranın örfünü </w:t>
            </w:r>
            <w:proofErr w:type="gramStart"/>
            <w:r>
              <w:t>adetini</w:t>
            </w:r>
            <w:proofErr w:type="gramEnd"/>
            <w:r>
              <w:t xml:space="preserve"> öğrenmek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ED98" w14:textId="03BECF94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F5F" w14:textId="4A2E1630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22CA" w14:textId="65161CD5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313" w14:textId="1C5CF8B7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10DF48DB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A244" w14:textId="079A7082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Yeni insanlarla tanışmak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B9D6" w14:textId="35BE3615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03E3" w14:textId="5D2DA6E8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755" w14:textId="3B6905F9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B6BD" w14:textId="4716E651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411735ED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7FC2" w14:textId="4ADAE24C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Çocuklarımla olan iletişimime yardımcı olmak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80B" w14:textId="548E887E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94A5" w14:textId="7B172628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126" w14:textId="421FCB4F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4C63" w14:textId="58C77C6D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5B45ACDC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ADE" w14:textId="4A286ADB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Mutsuz bir ilişkiden kaçmak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886E" w14:textId="77FD3C8F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BF5F" w14:textId="4909276B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06E" w14:textId="7F3A1C3E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B89" w14:textId="735A77B2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  <w:tr w:rsidR="00FE61E5" w:rsidRPr="001F7CAC" w14:paraId="7FF527CE" w14:textId="77777777" w:rsidTr="00984468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C71" w14:textId="0B9826F5" w:rsidR="00FE61E5" w:rsidRPr="009A4F42" w:rsidRDefault="00FE61E5" w:rsidP="00FE61E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rPr>
                <w:sz w:val="24"/>
                <w:szCs w:val="24"/>
              </w:rPr>
            </w:pPr>
            <w:r>
              <w:t>Ufkumu genişletmek için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C51" w14:textId="70AEED8F" w:rsidR="00FE61E5" w:rsidRPr="0081694C" w:rsidRDefault="00FE61E5" w:rsidP="00FE61E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AEB" w14:textId="01DC7792" w:rsidR="00FE61E5" w:rsidRPr="0081694C" w:rsidRDefault="00FE61E5" w:rsidP="00FE61E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9BC2" w14:textId="01E3CFD2" w:rsidR="00FE61E5" w:rsidRPr="0081694C" w:rsidRDefault="00FE61E5" w:rsidP="00FE61E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018C" w14:textId="1BA84C1D" w:rsidR="00FE61E5" w:rsidRPr="0081694C" w:rsidRDefault="00FE61E5" w:rsidP="00FE61E5">
            <w:pPr>
              <w:jc w:val="center"/>
            </w:pPr>
            <w:r w:rsidRPr="0081694C">
              <w:t>4</w:t>
            </w:r>
          </w:p>
        </w:tc>
      </w:tr>
    </w:tbl>
    <w:p w14:paraId="13F1DE48" w14:textId="2ED89A88" w:rsidR="00D91E41" w:rsidRDefault="00984468" w:rsidP="00563B1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textWrapping" w:clear="all"/>
      </w:r>
    </w:p>
    <w:p w14:paraId="40E92E0C" w14:textId="77777777" w:rsidR="00563B18" w:rsidRPr="004726F1" w:rsidRDefault="00563B18" w:rsidP="00691A07">
      <w:pPr>
        <w:ind w:left="-426" w:firstLine="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Türkçe Kaynak: </w:t>
      </w:r>
    </w:p>
    <w:p w14:paraId="216FD6BE" w14:textId="27EBB817" w:rsidR="001022E7" w:rsidRPr="001022E7" w:rsidRDefault="001022E7" w:rsidP="001022E7">
      <w:pPr>
        <w:pStyle w:val="metin"/>
        <w:tabs>
          <w:tab w:val="left" w:pos="1418"/>
        </w:tabs>
        <w:spacing w:after="0" w:line="240" w:lineRule="auto"/>
        <w:ind w:left="284" w:hanging="284"/>
      </w:pPr>
      <w:r w:rsidRPr="001022E7">
        <w:t>Kalaycı, I</w:t>
      </w:r>
      <w:proofErr w:type="gramStart"/>
      <w:r w:rsidRPr="001022E7">
        <w:t>.,</w:t>
      </w:r>
      <w:proofErr w:type="gramEnd"/>
      <w:r w:rsidRPr="001022E7">
        <w:t xml:space="preserve"> </w:t>
      </w:r>
      <w:proofErr w:type="spellStart"/>
      <w:r w:rsidRPr="001022E7">
        <w:t>Başalan</w:t>
      </w:r>
      <w:proofErr w:type="spellEnd"/>
      <w:r w:rsidRPr="001022E7">
        <w:t xml:space="preserve"> </w:t>
      </w:r>
      <w:proofErr w:type="spellStart"/>
      <w:r w:rsidRPr="001022E7">
        <w:t>İ̇z</w:t>
      </w:r>
      <w:proofErr w:type="spellEnd"/>
      <w:r w:rsidRPr="001022E7">
        <w:t xml:space="preserve">, F., &amp; </w:t>
      </w:r>
      <w:proofErr w:type="spellStart"/>
      <w:r w:rsidRPr="001022E7">
        <w:t>Kalınkara</w:t>
      </w:r>
      <w:proofErr w:type="spellEnd"/>
      <w:r w:rsidRPr="001022E7">
        <w:t xml:space="preserve">, V. (2022). </w:t>
      </w:r>
      <w:proofErr w:type="spellStart"/>
      <w:r w:rsidRPr="001022E7">
        <w:t>Validity</w:t>
      </w:r>
      <w:proofErr w:type="spellEnd"/>
      <w:r w:rsidRPr="001022E7">
        <w:t xml:space="preserve"> </w:t>
      </w:r>
      <w:proofErr w:type="spellStart"/>
      <w:r w:rsidRPr="001022E7">
        <w:t>and</w:t>
      </w:r>
      <w:proofErr w:type="spellEnd"/>
      <w:r w:rsidRPr="001022E7">
        <w:t xml:space="preserve"> </w:t>
      </w:r>
      <w:proofErr w:type="spellStart"/>
      <w:r w:rsidRPr="001022E7">
        <w:t>reliability</w:t>
      </w:r>
      <w:proofErr w:type="spellEnd"/>
      <w:r w:rsidRPr="001022E7">
        <w:t xml:space="preserve"> of </w:t>
      </w:r>
      <w:proofErr w:type="spellStart"/>
      <w:r w:rsidRPr="001022E7">
        <w:t>Education</w:t>
      </w:r>
      <w:proofErr w:type="spellEnd"/>
      <w:r w:rsidRPr="001022E7">
        <w:t xml:space="preserve"> </w:t>
      </w:r>
      <w:proofErr w:type="spellStart"/>
      <w:r w:rsidRPr="001022E7">
        <w:t>Participation</w:t>
      </w:r>
      <w:proofErr w:type="spellEnd"/>
      <w:r w:rsidRPr="001022E7">
        <w:t xml:space="preserve"> </w:t>
      </w:r>
      <w:proofErr w:type="spellStart"/>
      <w:r w:rsidRPr="001022E7">
        <w:t>Scale</w:t>
      </w:r>
      <w:proofErr w:type="spellEnd"/>
      <w:r w:rsidRPr="001022E7">
        <w:t xml:space="preserve"> (EPS-A) in </w:t>
      </w:r>
      <w:proofErr w:type="spellStart"/>
      <w:r w:rsidRPr="001022E7">
        <w:t>Turkish</w:t>
      </w:r>
      <w:proofErr w:type="spellEnd"/>
      <w:r w:rsidRPr="001022E7">
        <w:t xml:space="preserve"> </w:t>
      </w:r>
      <w:proofErr w:type="spellStart"/>
      <w:r w:rsidRPr="001022E7">
        <w:t>older</w:t>
      </w:r>
      <w:proofErr w:type="spellEnd"/>
      <w:r w:rsidRPr="001022E7">
        <w:t xml:space="preserve"> </w:t>
      </w:r>
      <w:proofErr w:type="spellStart"/>
      <w:r w:rsidRPr="001022E7">
        <w:t>adults</w:t>
      </w:r>
      <w:proofErr w:type="spellEnd"/>
      <w:r w:rsidRPr="001022E7">
        <w:t>.</w:t>
      </w:r>
      <w:r>
        <w:t xml:space="preserve"> </w:t>
      </w:r>
      <w:proofErr w:type="spellStart"/>
      <w:r w:rsidRPr="001022E7">
        <w:rPr>
          <w:i/>
        </w:rPr>
        <w:t>Educational</w:t>
      </w:r>
      <w:proofErr w:type="spellEnd"/>
      <w:r w:rsidRPr="001022E7">
        <w:rPr>
          <w:i/>
        </w:rPr>
        <w:t xml:space="preserve"> </w:t>
      </w:r>
      <w:proofErr w:type="spellStart"/>
      <w:r w:rsidRPr="001022E7">
        <w:rPr>
          <w:i/>
        </w:rPr>
        <w:t>Gerontology</w:t>
      </w:r>
      <w:proofErr w:type="spellEnd"/>
      <w:r w:rsidRPr="001022E7">
        <w:t xml:space="preserve">, 1-14. </w:t>
      </w:r>
      <w:hyperlink r:id="rId5" w:history="1">
        <w:r w:rsidRPr="001022E7">
          <w:t>https://doi.org/10.1080/03601277.2022.2133820</w:t>
        </w:r>
      </w:hyperlink>
    </w:p>
    <w:p w14:paraId="64182E24" w14:textId="615256BD" w:rsidR="001022E7" w:rsidRDefault="00FE61E5" w:rsidP="001022E7">
      <w:pPr>
        <w:pStyle w:val="metin"/>
        <w:tabs>
          <w:tab w:val="left" w:pos="1418"/>
        </w:tabs>
        <w:spacing w:after="0" w:line="240" w:lineRule="auto"/>
        <w:ind w:left="284" w:hanging="284"/>
      </w:pPr>
      <w:hyperlink r:id="rId6" w:history="1">
        <w:r w:rsidRPr="00874B99">
          <w:rPr>
            <w:rStyle w:val="Kpr"/>
          </w:rPr>
          <w:t>https://www.tandfonline.com/doi/full/10.1080/03601277.2022.2133820</w:t>
        </w:r>
      </w:hyperlink>
    </w:p>
    <w:p w14:paraId="606B5425" w14:textId="2ED68A92" w:rsidR="00FE61E5" w:rsidRDefault="00FE61E5" w:rsidP="001022E7">
      <w:pPr>
        <w:pStyle w:val="metin"/>
        <w:tabs>
          <w:tab w:val="left" w:pos="1418"/>
        </w:tabs>
        <w:spacing w:after="0" w:line="240" w:lineRule="auto"/>
        <w:ind w:left="284" w:hanging="284"/>
      </w:pPr>
    </w:p>
    <w:p w14:paraId="778ECAD1" w14:textId="77777777" w:rsidR="00FE61E5" w:rsidRPr="001022E7" w:rsidRDefault="00FE61E5" w:rsidP="001022E7">
      <w:pPr>
        <w:pStyle w:val="metin"/>
        <w:tabs>
          <w:tab w:val="left" w:pos="1418"/>
        </w:tabs>
        <w:spacing w:after="0" w:line="240" w:lineRule="auto"/>
        <w:ind w:left="284" w:hanging="284"/>
      </w:pPr>
      <w:bookmarkStart w:id="1" w:name="_GoBack"/>
      <w:bookmarkEnd w:id="1"/>
    </w:p>
    <w:p w14:paraId="0C499FE0" w14:textId="0CA9AB2A" w:rsidR="00563B18" w:rsidRPr="00691A07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lastRenderedPageBreak/>
        <w:t>Orijinal Kaynak:</w:t>
      </w:r>
    </w:p>
    <w:p w14:paraId="34E890E6" w14:textId="16D6A2FE" w:rsidR="001022E7" w:rsidRPr="001022E7" w:rsidRDefault="001022E7" w:rsidP="001022E7">
      <w:pPr>
        <w:pStyle w:val="metin"/>
        <w:tabs>
          <w:tab w:val="left" w:pos="1418"/>
        </w:tabs>
        <w:spacing w:after="0" w:line="240" w:lineRule="auto"/>
        <w:ind w:left="284" w:hanging="284"/>
      </w:pPr>
      <w:proofErr w:type="spellStart"/>
      <w:r w:rsidRPr="001022E7">
        <w:t>Boshier</w:t>
      </w:r>
      <w:proofErr w:type="spellEnd"/>
      <w:r w:rsidRPr="001022E7">
        <w:t xml:space="preserve">, R. (1991). </w:t>
      </w:r>
      <w:proofErr w:type="spellStart"/>
      <w:r w:rsidRPr="001022E7">
        <w:t>Psychometric</w:t>
      </w:r>
      <w:proofErr w:type="spellEnd"/>
      <w:r w:rsidRPr="001022E7">
        <w:t xml:space="preserve"> </w:t>
      </w:r>
      <w:proofErr w:type="spellStart"/>
      <w:r w:rsidRPr="001022E7">
        <w:t>properties</w:t>
      </w:r>
      <w:proofErr w:type="spellEnd"/>
      <w:r w:rsidRPr="001022E7">
        <w:t xml:space="preserve"> of </w:t>
      </w:r>
      <w:proofErr w:type="spellStart"/>
      <w:r w:rsidRPr="001022E7">
        <w:t>the</w:t>
      </w:r>
      <w:proofErr w:type="spellEnd"/>
      <w:r w:rsidRPr="001022E7">
        <w:t xml:space="preserve"> </w:t>
      </w:r>
      <w:proofErr w:type="spellStart"/>
      <w:r w:rsidRPr="001022E7">
        <w:t>alternative</w:t>
      </w:r>
      <w:proofErr w:type="spellEnd"/>
      <w:r w:rsidRPr="001022E7">
        <w:t xml:space="preserve"> form of </w:t>
      </w:r>
      <w:proofErr w:type="spellStart"/>
      <w:r w:rsidRPr="001022E7">
        <w:t>the</w:t>
      </w:r>
      <w:proofErr w:type="spellEnd"/>
      <w:r w:rsidRPr="001022E7">
        <w:t xml:space="preserve"> </w:t>
      </w:r>
      <w:proofErr w:type="spellStart"/>
      <w:r w:rsidRPr="001022E7">
        <w:t>education</w:t>
      </w:r>
      <w:proofErr w:type="spellEnd"/>
      <w:r w:rsidRPr="001022E7">
        <w:t xml:space="preserve"> </w:t>
      </w:r>
      <w:proofErr w:type="spellStart"/>
      <w:r w:rsidRPr="001022E7">
        <w:t>participation</w:t>
      </w:r>
      <w:proofErr w:type="spellEnd"/>
      <w:r w:rsidRPr="001022E7">
        <w:t xml:space="preserve"> </w:t>
      </w:r>
      <w:proofErr w:type="spellStart"/>
      <w:r w:rsidRPr="001022E7">
        <w:t>scale</w:t>
      </w:r>
      <w:proofErr w:type="spellEnd"/>
      <w:r w:rsidRPr="001022E7">
        <w:t>.</w:t>
      </w:r>
      <w:r>
        <w:t xml:space="preserve"> </w:t>
      </w:r>
      <w:proofErr w:type="spellStart"/>
      <w:r w:rsidRPr="001022E7">
        <w:rPr>
          <w:i/>
        </w:rPr>
        <w:t>Adult</w:t>
      </w:r>
      <w:proofErr w:type="spellEnd"/>
      <w:r w:rsidRPr="001022E7">
        <w:rPr>
          <w:i/>
        </w:rPr>
        <w:t xml:space="preserve"> </w:t>
      </w:r>
      <w:proofErr w:type="spellStart"/>
      <w:r w:rsidRPr="001022E7">
        <w:rPr>
          <w:i/>
        </w:rPr>
        <w:t>Education</w:t>
      </w:r>
      <w:proofErr w:type="spellEnd"/>
      <w:r w:rsidRPr="001022E7">
        <w:rPr>
          <w:i/>
        </w:rPr>
        <w:t xml:space="preserve"> </w:t>
      </w:r>
      <w:proofErr w:type="spellStart"/>
      <w:r w:rsidRPr="001022E7">
        <w:rPr>
          <w:i/>
        </w:rPr>
        <w:t>Quarterly</w:t>
      </w:r>
      <w:proofErr w:type="spellEnd"/>
      <w:r w:rsidRPr="001022E7">
        <w:rPr>
          <w:i/>
        </w:rPr>
        <w:t>, 41</w:t>
      </w:r>
      <w:r w:rsidRPr="001022E7">
        <w:t>(3), 150–167.</w:t>
      </w:r>
      <w:r>
        <w:t xml:space="preserve"> </w:t>
      </w:r>
      <w:r w:rsidRPr="001022E7">
        <w:t xml:space="preserve">https://doi.org/10.1177/0001848191041003002 </w:t>
      </w:r>
    </w:p>
    <w:p w14:paraId="54FF3E20" w14:textId="1F7A6104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7D237745" w:rsidR="00563B18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BD700A">
        <w:rPr>
          <w:sz w:val="22"/>
          <w:szCs w:val="22"/>
        </w:rPr>
        <w:t>4</w:t>
      </w:r>
      <w:r w:rsidRPr="00964604">
        <w:rPr>
          <w:sz w:val="22"/>
          <w:szCs w:val="22"/>
        </w:rPr>
        <w:t xml:space="preserve"> alt boyut ve </w:t>
      </w:r>
      <w:r w:rsidR="00BD700A">
        <w:rPr>
          <w:sz w:val="22"/>
          <w:szCs w:val="22"/>
        </w:rPr>
        <w:t>16</w:t>
      </w:r>
      <w:r w:rsidRPr="00964604">
        <w:rPr>
          <w:sz w:val="22"/>
          <w:szCs w:val="22"/>
        </w:rPr>
        <w:t xml:space="preserve"> madde</w:t>
      </w:r>
    </w:p>
    <w:p w14:paraId="3576110B" w14:textId="0CAC7F9A" w:rsidR="007716CD" w:rsidRPr="00BD700A" w:rsidRDefault="007716CD" w:rsidP="007716CD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 xml:space="preserve"> “</w:t>
      </w:r>
      <w:r>
        <w:t>Sosyal ilgi</w:t>
      </w:r>
      <w:r w:rsidRPr="00BD700A">
        <w:rPr>
          <w:sz w:val="22"/>
          <w:szCs w:val="22"/>
        </w:rPr>
        <w:t>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700A">
        <w:rPr>
          <w:sz w:val="22"/>
          <w:szCs w:val="22"/>
        </w:rPr>
        <w:t>(</w:t>
      </w:r>
      <w:r w:rsidR="007242D0">
        <w:rPr>
          <w:sz w:val="22"/>
          <w:szCs w:val="22"/>
        </w:rPr>
        <w:t>10</w:t>
      </w:r>
      <w:r w:rsidRPr="00BD700A">
        <w:rPr>
          <w:sz w:val="22"/>
          <w:szCs w:val="22"/>
        </w:rPr>
        <w:t xml:space="preserve"> madde)</w:t>
      </w:r>
      <w:r>
        <w:rPr>
          <w:sz w:val="22"/>
          <w:szCs w:val="22"/>
        </w:rPr>
        <w:tab/>
      </w:r>
      <w:r w:rsidRPr="00BD700A">
        <w:rPr>
          <w:sz w:val="22"/>
          <w:szCs w:val="22"/>
        </w:rPr>
        <w:t>: S</w:t>
      </w:r>
      <w:r>
        <w:rPr>
          <w:sz w:val="22"/>
          <w:szCs w:val="22"/>
        </w:rPr>
        <w:t xml:space="preserve">2, S4, S5, S7, S9, S12, S14, </w:t>
      </w:r>
      <w:r w:rsidR="007242D0">
        <w:rPr>
          <w:sz w:val="22"/>
          <w:szCs w:val="22"/>
        </w:rPr>
        <w:t xml:space="preserve">S 17, </w:t>
      </w:r>
      <w:r>
        <w:rPr>
          <w:sz w:val="22"/>
          <w:szCs w:val="22"/>
        </w:rPr>
        <w:t>S22</w:t>
      </w:r>
      <w:r w:rsidR="007242D0">
        <w:rPr>
          <w:sz w:val="22"/>
          <w:szCs w:val="22"/>
        </w:rPr>
        <w:t>,S27</w:t>
      </w:r>
    </w:p>
    <w:p w14:paraId="79D84B13" w14:textId="63BE82D0" w:rsidR="007716CD" w:rsidRPr="00BD700A" w:rsidRDefault="007716CD" w:rsidP="007716CD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 xml:space="preserve"> “</w:t>
      </w:r>
      <w:r w:rsidRPr="00712102">
        <w:t>Ailesel nedenleri</w:t>
      </w:r>
      <w:r w:rsidRPr="00BD700A">
        <w:rPr>
          <w:sz w:val="22"/>
          <w:szCs w:val="22"/>
        </w:rPr>
        <w:t>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700A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BD700A">
        <w:rPr>
          <w:sz w:val="22"/>
          <w:szCs w:val="22"/>
        </w:rPr>
        <w:t xml:space="preserve"> madde)</w:t>
      </w:r>
      <w:r>
        <w:rPr>
          <w:sz w:val="22"/>
          <w:szCs w:val="22"/>
        </w:rPr>
        <w:tab/>
      </w:r>
      <w:r w:rsidRPr="00BD700A">
        <w:rPr>
          <w:sz w:val="22"/>
          <w:szCs w:val="22"/>
        </w:rPr>
        <w:t xml:space="preserve">: </w:t>
      </w:r>
      <w:r>
        <w:rPr>
          <w:sz w:val="22"/>
          <w:szCs w:val="22"/>
        </w:rPr>
        <w:t>S3, S13, S18, S23, S28, S29</w:t>
      </w:r>
    </w:p>
    <w:p w14:paraId="43E10B9F" w14:textId="2A8F7354" w:rsidR="007716CD" w:rsidRDefault="007716CD" w:rsidP="007716CD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>“</w:t>
      </w:r>
      <w:r w:rsidRPr="00712102">
        <w:t xml:space="preserve">Sosyal </w:t>
      </w:r>
      <w:proofErr w:type="gramStart"/>
      <w:r>
        <w:t>motivasyon</w:t>
      </w:r>
      <w:proofErr w:type="gramEnd"/>
      <w:r w:rsidRPr="00BD700A">
        <w:rPr>
          <w:sz w:val="22"/>
          <w:szCs w:val="22"/>
        </w:rPr>
        <w:t xml:space="preserve">”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700A">
        <w:rPr>
          <w:sz w:val="22"/>
          <w:szCs w:val="22"/>
        </w:rPr>
        <w:t>(</w:t>
      </w:r>
      <w:r w:rsidR="007242D0">
        <w:rPr>
          <w:sz w:val="22"/>
          <w:szCs w:val="22"/>
        </w:rPr>
        <w:t>7</w:t>
      </w:r>
      <w:r w:rsidRPr="00BD700A">
        <w:rPr>
          <w:sz w:val="22"/>
          <w:szCs w:val="22"/>
        </w:rPr>
        <w:t xml:space="preserve"> madde)</w:t>
      </w:r>
      <w:r>
        <w:rPr>
          <w:sz w:val="22"/>
          <w:szCs w:val="22"/>
        </w:rPr>
        <w:tab/>
      </w:r>
      <w:r w:rsidRPr="00BD700A">
        <w:rPr>
          <w:sz w:val="22"/>
          <w:szCs w:val="22"/>
        </w:rPr>
        <w:t xml:space="preserve">: </w:t>
      </w:r>
      <w:r>
        <w:rPr>
          <w:sz w:val="22"/>
          <w:szCs w:val="22"/>
        </w:rPr>
        <w:t>S10, S15, S19, S20, S24, S25, S30</w:t>
      </w:r>
    </w:p>
    <w:p w14:paraId="00B86A95" w14:textId="3BE7A142" w:rsidR="00BD700A" w:rsidRPr="00BD700A" w:rsidRDefault="00BD700A" w:rsidP="00BD700A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>“</w:t>
      </w:r>
      <w:r w:rsidR="00984468">
        <w:t>İletişim geliştirme</w:t>
      </w:r>
      <w:r w:rsidRPr="00BD700A">
        <w:rPr>
          <w:sz w:val="22"/>
          <w:szCs w:val="22"/>
        </w:rPr>
        <w:t>”</w:t>
      </w:r>
      <w:r w:rsidR="00A9081B">
        <w:rPr>
          <w:sz w:val="22"/>
          <w:szCs w:val="22"/>
        </w:rPr>
        <w:tab/>
      </w:r>
      <w:r w:rsidR="00A9081B">
        <w:rPr>
          <w:sz w:val="22"/>
          <w:szCs w:val="22"/>
        </w:rPr>
        <w:tab/>
      </w:r>
      <w:r w:rsidRPr="00BD700A">
        <w:rPr>
          <w:sz w:val="22"/>
          <w:szCs w:val="22"/>
        </w:rPr>
        <w:t>(</w:t>
      </w:r>
      <w:r w:rsidR="007242D0">
        <w:rPr>
          <w:sz w:val="22"/>
          <w:szCs w:val="22"/>
        </w:rPr>
        <w:t>7</w:t>
      </w:r>
      <w:r w:rsidRPr="00BD700A">
        <w:rPr>
          <w:sz w:val="22"/>
          <w:szCs w:val="22"/>
        </w:rPr>
        <w:t xml:space="preserve"> madde)</w:t>
      </w:r>
      <w:r w:rsidR="00A9081B">
        <w:rPr>
          <w:sz w:val="22"/>
          <w:szCs w:val="22"/>
        </w:rPr>
        <w:tab/>
      </w:r>
      <w:r w:rsidRPr="00BD700A">
        <w:rPr>
          <w:sz w:val="22"/>
          <w:szCs w:val="22"/>
        </w:rPr>
        <w:t xml:space="preserve">: </w:t>
      </w:r>
      <w:r w:rsidR="007242D0">
        <w:rPr>
          <w:sz w:val="22"/>
          <w:szCs w:val="22"/>
        </w:rPr>
        <w:t>S1, S6, S8, S11, S16, S21, S26</w:t>
      </w:r>
    </w:p>
    <w:p w14:paraId="158CCCE0" w14:textId="77777777" w:rsidR="00964604" w:rsidRP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 xml:space="preserve">Ölçeğin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Ölçekte ters madde bulunmamaktadır.</w:t>
      </w:r>
      <w:r w:rsidR="00964604" w:rsidRPr="00964604">
        <w:rPr>
          <w:sz w:val="22"/>
          <w:szCs w:val="22"/>
        </w:rPr>
        <w:t xml:space="preserve"> </w:t>
      </w:r>
    </w:p>
    <w:p w14:paraId="6D41C596" w14:textId="33626A7B" w:rsidR="00D95D41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</w:t>
      </w:r>
      <w:r w:rsidR="00BD700A">
        <w:rPr>
          <w:color w:val="000000"/>
          <w:sz w:val="24"/>
          <w:szCs w:val="24"/>
        </w:rPr>
        <w:t>Ö</w:t>
      </w:r>
      <w:r w:rsidR="00BD700A" w:rsidRPr="009A4F42">
        <w:rPr>
          <w:color w:val="000000"/>
          <w:sz w:val="24"/>
          <w:szCs w:val="24"/>
        </w:rPr>
        <w:t xml:space="preserve">lçekten alınabilecek puan </w:t>
      </w:r>
      <w:r w:rsidR="00A9081B">
        <w:rPr>
          <w:color w:val="000000"/>
          <w:sz w:val="24"/>
          <w:szCs w:val="24"/>
        </w:rPr>
        <w:t>30</w:t>
      </w:r>
      <w:r w:rsidR="00BD700A">
        <w:rPr>
          <w:color w:val="000000"/>
          <w:sz w:val="24"/>
          <w:szCs w:val="24"/>
        </w:rPr>
        <w:t>-</w:t>
      </w:r>
      <w:r w:rsidR="00A9081B">
        <w:rPr>
          <w:color w:val="000000"/>
          <w:sz w:val="24"/>
          <w:szCs w:val="24"/>
        </w:rPr>
        <w:t>120</w:t>
      </w:r>
      <w:r w:rsidR="00BD700A" w:rsidRPr="009A4F42">
        <w:rPr>
          <w:color w:val="000000"/>
          <w:sz w:val="24"/>
          <w:szCs w:val="24"/>
        </w:rPr>
        <w:t xml:space="preserve"> arasında değişmektedir. Ölçekten alınan puanın artması</w:t>
      </w:r>
      <w:r w:rsidR="001022E7">
        <w:rPr>
          <w:color w:val="000000"/>
          <w:sz w:val="24"/>
          <w:szCs w:val="24"/>
        </w:rPr>
        <w:t xml:space="preserve"> 60 yaş üstü </w:t>
      </w:r>
      <w:r w:rsidR="00BD700A" w:rsidRPr="009A4F42">
        <w:rPr>
          <w:color w:val="000000"/>
          <w:sz w:val="24"/>
          <w:szCs w:val="24"/>
        </w:rPr>
        <w:t xml:space="preserve">bireylerin </w:t>
      </w:r>
      <w:r w:rsidR="001022E7">
        <w:rPr>
          <w:color w:val="000000"/>
          <w:sz w:val="24"/>
          <w:szCs w:val="24"/>
        </w:rPr>
        <w:t xml:space="preserve">eğitime katılma </w:t>
      </w:r>
      <w:proofErr w:type="gramStart"/>
      <w:r w:rsidR="001022E7">
        <w:rPr>
          <w:color w:val="000000"/>
          <w:sz w:val="24"/>
          <w:szCs w:val="24"/>
        </w:rPr>
        <w:t>motivasyonlarının</w:t>
      </w:r>
      <w:proofErr w:type="gramEnd"/>
      <w:r w:rsidR="00BD700A" w:rsidRPr="009A4F42">
        <w:rPr>
          <w:color w:val="000000"/>
          <w:sz w:val="24"/>
          <w:szCs w:val="24"/>
        </w:rPr>
        <w:t xml:space="preserve"> yüksek olduğunu göstermektedir</w:t>
      </w:r>
    </w:p>
    <w:p w14:paraId="115164F8" w14:textId="1DF43501" w:rsidR="00691A07" w:rsidRPr="00823B50" w:rsidRDefault="00691A07" w:rsidP="00691A07">
      <w:pPr>
        <w:ind w:left="-426"/>
      </w:pPr>
      <w:r w:rsidRPr="00823B50">
        <w:rPr>
          <w:b/>
        </w:rPr>
        <w:t>İletişim adresi:</w:t>
      </w:r>
      <w:r w:rsidRPr="00E9149D">
        <w:rPr>
          <w:color w:val="000000"/>
          <w:sz w:val="24"/>
          <w:szCs w:val="24"/>
        </w:rPr>
        <w:t xml:space="preserve"> </w:t>
      </w:r>
      <w:hyperlink r:id="rId7" w:history="1">
        <w:r w:rsidR="00BD700A" w:rsidRPr="00E9149D">
          <w:rPr>
            <w:color w:val="000000"/>
            <w:sz w:val="24"/>
            <w:szCs w:val="24"/>
          </w:rPr>
          <w:t>isilkalayci@sdu.edu.tr</w:t>
        </w:r>
      </w:hyperlink>
    </w:p>
    <w:sectPr w:rsidR="00691A07" w:rsidRPr="00823B50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D12"/>
    <w:multiLevelType w:val="multilevel"/>
    <w:tmpl w:val="3D9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B6667"/>
    <w:rsid w:val="001022E7"/>
    <w:rsid w:val="001372C6"/>
    <w:rsid w:val="00140A2D"/>
    <w:rsid w:val="00147F3D"/>
    <w:rsid w:val="001956E8"/>
    <w:rsid w:val="001B37F2"/>
    <w:rsid w:val="001F7CAC"/>
    <w:rsid w:val="002042A3"/>
    <w:rsid w:val="002405FC"/>
    <w:rsid w:val="00245219"/>
    <w:rsid w:val="003A0001"/>
    <w:rsid w:val="003C0CF5"/>
    <w:rsid w:val="003C3D09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F3D8C"/>
    <w:rsid w:val="00674588"/>
    <w:rsid w:val="00691A07"/>
    <w:rsid w:val="006D3B7C"/>
    <w:rsid w:val="007242D0"/>
    <w:rsid w:val="007716CD"/>
    <w:rsid w:val="00780BBD"/>
    <w:rsid w:val="007A384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84468"/>
    <w:rsid w:val="009A3923"/>
    <w:rsid w:val="009E6848"/>
    <w:rsid w:val="00A02A37"/>
    <w:rsid w:val="00A3007B"/>
    <w:rsid w:val="00A649C5"/>
    <w:rsid w:val="00A6507E"/>
    <w:rsid w:val="00A9002A"/>
    <w:rsid w:val="00A9081B"/>
    <w:rsid w:val="00B320B6"/>
    <w:rsid w:val="00BA19F4"/>
    <w:rsid w:val="00BD700A"/>
    <w:rsid w:val="00C50605"/>
    <w:rsid w:val="00CA31C7"/>
    <w:rsid w:val="00D1373F"/>
    <w:rsid w:val="00D91E41"/>
    <w:rsid w:val="00D95D41"/>
    <w:rsid w:val="00DA7062"/>
    <w:rsid w:val="00DF6524"/>
    <w:rsid w:val="00E52211"/>
    <w:rsid w:val="00E9149D"/>
    <w:rsid w:val="00EC7989"/>
    <w:rsid w:val="00EF0CEE"/>
    <w:rsid w:val="00F12EC7"/>
    <w:rsid w:val="00F36F3E"/>
    <w:rsid w:val="00F91291"/>
    <w:rsid w:val="00FB2801"/>
    <w:rsid w:val="00FC58EE"/>
    <w:rsid w:val="00FE4C29"/>
    <w:rsid w:val="00FE56A1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customStyle="1" w:styleId="hlfld-contribauthor">
    <w:name w:val="hlfld-contribauthor"/>
    <w:basedOn w:val="VarsaylanParagrafYazTipi"/>
    <w:rsid w:val="001022E7"/>
  </w:style>
  <w:style w:type="character" w:customStyle="1" w:styleId="nlmgiven-names">
    <w:name w:val="nlm_given-names"/>
    <w:basedOn w:val="VarsaylanParagrafYazTipi"/>
    <w:rsid w:val="001022E7"/>
  </w:style>
  <w:style w:type="character" w:customStyle="1" w:styleId="nlmyear">
    <w:name w:val="nlm_year"/>
    <w:basedOn w:val="VarsaylanParagrafYazTipi"/>
    <w:rsid w:val="001022E7"/>
  </w:style>
  <w:style w:type="character" w:customStyle="1" w:styleId="nlmarticle-title">
    <w:name w:val="nlm_article-title"/>
    <w:basedOn w:val="VarsaylanParagrafYazTipi"/>
    <w:rsid w:val="001022E7"/>
  </w:style>
  <w:style w:type="character" w:customStyle="1" w:styleId="nlmfpage">
    <w:name w:val="nlm_fpage"/>
    <w:basedOn w:val="VarsaylanParagrafYazTipi"/>
    <w:rsid w:val="001022E7"/>
  </w:style>
  <w:style w:type="character" w:customStyle="1" w:styleId="nlmlpage">
    <w:name w:val="nlm_lpage"/>
    <w:basedOn w:val="VarsaylanParagrafYazTipi"/>
    <w:rsid w:val="001022E7"/>
  </w:style>
  <w:style w:type="character" w:customStyle="1" w:styleId="nlmpub-id">
    <w:name w:val="nlm_pub-id"/>
    <w:basedOn w:val="VarsaylanParagrafYazTipi"/>
    <w:rsid w:val="0010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lkalayci@s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03601277.2022.2133820" TargetMode="External"/><Relationship Id="rId5" Type="http://schemas.openxmlformats.org/officeDocument/2006/relationships/hyperlink" Target="https://doi.org/10.1080/03601277.2022.21338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3051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Işıl KALAYCI</cp:lastModifiedBy>
  <cp:revision>5</cp:revision>
  <dcterms:created xsi:type="dcterms:W3CDTF">2022-11-15T06:59:00Z</dcterms:created>
  <dcterms:modified xsi:type="dcterms:W3CDTF">2022-11-24T10:17:00Z</dcterms:modified>
</cp:coreProperties>
</file>