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A8" w:rsidRPr="00456CA8" w:rsidRDefault="00456CA8" w:rsidP="00456CA8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</w:pPr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Anadolu Psikiyatri Dergisi; 2008;9(2):91-96</w:t>
      </w:r>
    </w:p>
    <w:p w:rsidR="00456CA8" w:rsidRPr="00456CA8" w:rsidRDefault="00456CA8" w:rsidP="00456CA8">
      <w:pPr>
        <w:spacing w:after="0" w:line="450" w:lineRule="atLeast"/>
        <w:rPr>
          <w:rFonts w:ascii="Verdana" w:eastAsia="Times New Roman" w:hAnsi="Verdana" w:cs="Times New Roman"/>
          <w:b/>
          <w:bCs/>
          <w:color w:val="333333"/>
          <w:sz w:val="21"/>
          <w:szCs w:val="21"/>
          <w:shd w:val="clear" w:color="auto" w:fill="FFFFFF"/>
          <w:lang w:eastAsia="tr-TR"/>
        </w:rPr>
      </w:pPr>
      <w:bookmarkStart w:id="0" w:name="_GoBack"/>
      <w:r w:rsidRPr="00456CA8">
        <w:rPr>
          <w:rFonts w:ascii="Verdana" w:eastAsia="Times New Roman" w:hAnsi="Verdana" w:cs="Times New Roman"/>
          <w:b/>
          <w:bCs/>
          <w:color w:val="333333"/>
          <w:sz w:val="21"/>
          <w:szCs w:val="21"/>
          <w:shd w:val="clear" w:color="auto" w:fill="FFFFFF"/>
          <w:lang w:eastAsia="tr-TR"/>
        </w:rPr>
        <w:t xml:space="preserve">Ruhsal Hastalığa Yönelik İnançlar </w:t>
      </w:r>
      <w:proofErr w:type="spellStart"/>
      <w:r w:rsidRPr="00456CA8">
        <w:rPr>
          <w:rFonts w:ascii="Verdana" w:eastAsia="Times New Roman" w:hAnsi="Verdana" w:cs="Times New Roman"/>
          <w:b/>
          <w:bCs/>
          <w:color w:val="333333"/>
          <w:sz w:val="21"/>
          <w:szCs w:val="21"/>
          <w:shd w:val="clear" w:color="auto" w:fill="FFFFFF"/>
          <w:lang w:eastAsia="tr-TR"/>
        </w:rPr>
        <w:t>Ölçeği’nin</w:t>
      </w:r>
      <w:proofErr w:type="spellEnd"/>
      <w:r w:rsidRPr="00456CA8">
        <w:rPr>
          <w:rFonts w:ascii="Verdana" w:eastAsia="Times New Roman" w:hAnsi="Verdana" w:cs="Times New Roman"/>
          <w:b/>
          <w:bCs/>
          <w:color w:val="333333"/>
          <w:sz w:val="21"/>
          <w:szCs w:val="21"/>
          <w:shd w:val="clear" w:color="auto" w:fill="FFFFFF"/>
          <w:lang w:eastAsia="tr-TR"/>
        </w:rPr>
        <w:t xml:space="preserve"> geçerliliği ve güvenilirliği</w:t>
      </w:r>
      <w:bookmarkEnd w:id="0"/>
    </w:p>
    <w:p w:rsidR="00456CA8" w:rsidRPr="00456CA8" w:rsidRDefault="00456CA8" w:rsidP="00456CA8">
      <w:pPr>
        <w:spacing w:after="0" w:line="450" w:lineRule="atLeast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tr-TR"/>
        </w:rPr>
      </w:pPr>
      <w:r w:rsidRPr="00456CA8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tr-TR"/>
        </w:rPr>
        <w:t>A Bilge, O Çam</w:t>
      </w:r>
    </w:p>
    <w:p w:rsidR="00456CA8" w:rsidRPr="00456CA8" w:rsidRDefault="00456CA8" w:rsidP="00456CA8">
      <w:pPr>
        <w:spacing w:line="240" w:lineRule="auto"/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</w:pPr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Ege Üniversitesi İzmir Atatürk Sağlık Yüksekokulu, İZMİR</w:t>
      </w:r>
    </w:p>
    <w:p w:rsidR="00456CA8" w:rsidRPr="00456CA8" w:rsidRDefault="00456CA8" w:rsidP="00456CA8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</w:pPr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Amaç: Bu araştırmanın amacı, ruhsal hastalığa yönelik inançları değerlendirmek için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Hirai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ve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Clum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tarafından geliştirilen Ruhsal Hastalığa Yönelik İnançlar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Ölçeği’ni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dilimize uyarlayarak, Türkiye için geçerlilik ve güvenilirlik çalışmasını yapmaktır. Yöntem ve Bulgular: Araştırmaya 262 yetişkin (129 kadın, 133 erkek) alınmıştır. Ruhsal Hastalığa Yönelik İnançlar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Ölçeği’nin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yapı geçerliliği çalışması için faktör analizi yapılmış ve üç faktör saptan-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mıştır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. Ölçeğin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Cronbach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alpha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katsayısı 0.82, alt ölçek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Cronbach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alpha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değerleri ise 0.69-0.80 arasında bulun-muş, ölçek ve alt ölçekler kabul edilebilir düzeyde iç tutarlılık göstermiştir. Sonuç: Sonuç olarak Ruhsal Hastalığa Yönelik İnançlar Ölçeği Türk toplumu için geçerli ve güvenilir bir ölçektir.</w:t>
      </w:r>
    </w:p>
    <w:p w:rsidR="00456CA8" w:rsidRPr="00456CA8" w:rsidRDefault="00456CA8" w:rsidP="00456CA8">
      <w:pPr>
        <w:spacing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tr-TR"/>
        </w:rPr>
      </w:pPr>
      <w:proofErr w:type="spellStart"/>
      <w:r w:rsidRPr="00456CA8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tr-TR"/>
        </w:rPr>
        <w:t>Validity</w:t>
      </w:r>
      <w:proofErr w:type="spellEnd"/>
      <w:r w:rsidRPr="00456CA8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456CA8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tr-TR"/>
        </w:rPr>
        <w:t>and</w:t>
      </w:r>
      <w:proofErr w:type="spellEnd"/>
      <w:r w:rsidRPr="00456CA8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456CA8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tr-TR"/>
        </w:rPr>
        <w:t>reliability</w:t>
      </w:r>
      <w:proofErr w:type="spellEnd"/>
      <w:r w:rsidRPr="00456CA8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tr-TR"/>
        </w:rPr>
        <w:t xml:space="preserve"> of </w:t>
      </w:r>
      <w:proofErr w:type="spellStart"/>
      <w:r w:rsidRPr="00456CA8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tr-TR"/>
        </w:rPr>
        <w:t>Beliefs</w:t>
      </w:r>
      <w:proofErr w:type="spellEnd"/>
      <w:r w:rsidRPr="00456CA8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456CA8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tr-TR"/>
        </w:rPr>
        <w:t>towards</w:t>
      </w:r>
      <w:proofErr w:type="spellEnd"/>
      <w:r w:rsidRPr="00456CA8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456CA8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tr-TR"/>
        </w:rPr>
        <w:t>Mental</w:t>
      </w:r>
      <w:proofErr w:type="spellEnd"/>
      <w:r w:rsidRPr="00456CA8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456CA8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tr-TR"/>
        </w:rPr>
        <w:t>Illness</w:t>
      </w:r>
      <w:proofErr w:type="spellEnd"/>
      <w:r w:rsidRPr="00456CA8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456CA8">
        <w:rPr>
          <w:rFonts w:ascii="Verdana" w:eastAsia="Times New Roman" w:hAnsi="Verdana" w:cs="Times New Roman"/>
          <w:b/>
          <w:bCs/>
          <w:color w:val="333333"/>
          <w:sz w:val="18"/>
          <w:szCs w:val="18"/>
          <w:shd w:val="clear" w:color="auto" w:fill="FFFFFF"/>
          <w:lang w:eastAsia="tr-TR"/>
        </w:rPr>
        <w:t>Scale</w:t>
      </w:r>
      <w:proofErr w:type="spellEnd"/>
    </w:p>
    <w:p w:rsidR="00456CA8" w:rsidRPr="00456CA8" w:rsidRDefault="00456CA8" w:rsidP="00456CA8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</w:pP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Objective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: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The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purpose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of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this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research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was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to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adapt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the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Beliefs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toward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Mental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Illness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Scale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(BMI),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which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was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developed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by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Hirai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and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Clum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for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the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purpose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of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evaluating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people's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beliefs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about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mental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illness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,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for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Turkish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and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conduct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its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validity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and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reliability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tests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.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Methods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and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Finding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: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There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were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262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adults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who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participated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in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the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research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.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Factor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analysis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was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conducted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for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the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test of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the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construct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validity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of BMI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and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three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factors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were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deter-mined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.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The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scale's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Cronbach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alpha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was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found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to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be 0.82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and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the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subscales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were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between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0.69-0.80.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Conclu-sion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: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In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conclusion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,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The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Beliefs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toward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Mental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Illness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Scale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is a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valid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and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reliable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tool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for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Turkish</w:t>
      </w:r>
      <w:proofErr w:type="spellEnd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 xml:space="preserve"> </w:t>
      </w:r>
      <w:proofErr w:type="spellStart"/>
      <w:r w:rsidRPr="00456CA8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tr-TR"/>
        </w:rPr>
        <w:t>society</w:t>
      </w:r>
      <w:proofErr w:type="spellEnd"/>
    </w:p>
    <w:p w:rsidR="0018260C" w:rsidRPr="003337C6" w:rsidRDefault="0018260C" w:rsidP="004E7378">
      <w:pPr>
        <w:rPr>
          <w:sz w:val="16"/>
          <w:szCs w:val="16"/>
        </w:rPr>
      </w:pPr>
    </w:p>
    <w:sectPr w:rsidR="0018260C" w:rsidRPr="00333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0B"/>
    <w:rsid w:val="00152F19"/>
    <w:rsid w:val="0018260C"/>
    <w:rsid w:val="003337C6"/>
    <w:rsid w:val="003E5632"/>
    <w:rsid w:val="00456CA8"/>
    <w:rsid w:val="00491CDD"/>
    <w:rsid w:val="004E7378"/>
    <w:rsid w:val="00544D81"/>
    <w:rsid w:val="005C4290"/>
    <w:rsid w:val="005F5194"/>
    <w:rsid w:val="00647AFC"/>
    <w:rsid w:val="007F607A"/>
    <w:rsid w:val="0095480B"/>
    <w:rsid w:val="009B7E96"/>
    <w:rsid w:val="00DD59B9"/>
    <w:rsid w:val="00ED3894"/>
    <w:rsid w:val="00F2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">
    <w:name w:val="a"/>
    <w:basedOn w:val="VarsaylanParagrafYazTipi"/>
    <w:rsid w:val="00333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">
    <w:name w:val="a"/>
    <w:basedOn w:val="VarsaylanParagrafYazTipi"/>
    <w:rsid w:val="00333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38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29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8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98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tr</cp:lastModifiedBy>
  <cp:revision>1</cp:revision>
  <dcterms:created xsi:type="dcterms:W3CDTF">2016-04-10T11:29:00Z</dcterms:created>
  <dcterms:modified xsi:type="dcterms:W3CDTF">2016-04-10T14:39:00Z</dcterms:modified>
</cp:coreProperties>
</file>