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4D" w:rsidRPr="0081694C" w:rsidRDefault="00441B4D" w:rsidP="00441B4D">
      <w:pPr>
        <w:pStyle w:val="Balk4"/>
        <w:jc w:val="center"/>
      </w:pPr>
      <w:r w:rsidRPr="0081694C">
        <w:t>Hoşgörü Ölçeği</w:t>
      </w:r>
    </w:p>
    <w:tbl>
      <w:tblPr>
        <w:tblW w:w="102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7150"/>
        <w:gridCol w:w="550"/>
        <w:gridCol w:w="550"/>
        <w:gridCol w:w="550"/>
        <w:gridCol w:w="550"/>
        <w:gridCol w:w="550"/>
      </w:tblGrid>
      <w:tr w:rsidR="00441B4D" w:rsidRPr="0081694C" w:rsidTr="003E0B3A">
        <w:trPr>
          <w:trHeight w:val="1037"/>
        </w:trPr>
        <w:tc>
          <w:tcPr>
            <w:tcW w:w="10264" w:type="dxa"/>
            <w:gridSpan w:val="7"/>
            <w:shd w:val="clear" w:color="auto" w:fill="auto"/>
            <w:noWrap/>
            <w:hideMark/>
          </w:tcPr>
          <w:p w:rsidR="00441B4D" w:rsidRPr="00F667C0" w:rsidRDefault="00441B4D" w:rsidP="003E0B3A">
            <w:pPr>
              <w:spacing w:after="0" w:line="240" w:lineRule="auto"/>
              <w:rPr>
                <w:sz w:val="20"/>
                <w:szCs w:val="20"/>
              </w:rPr>
            </w:pPr>
            <w:r w:rsidRPr="00621010">
              <w:rPr>
                <w:sz w:val="20"/>
                <w:szCs w:val="20"/>
              </w:rPr>
              <w:t>Aşağıdaki ifadelerin her birin</w:t>
            </w:r>
            <w:r>
              <w:rPr>
                <w:sz w:val="20"/>
                <w:szCs w:val="20"/>
              </w:rPr>
              <w:t>in</w:t>
            </w:r>
            <w:r w:rsidRPr="00621010">
              <w:rPr>
                <w:sz w:val="20"/>
                <w:szCs w:val="20"/>
              </w:rPr>
              <w:t xml:space="preserve"> </w:t>
            </w:r>
            <w:r>
              <w:rPr>
                <w:sz w:val="20"/>
                <w:szCs w:val="20"/>
              </w:rPr>
              <w:t>size ne derece uyduğunu</w:t>
            </w:r>
            <w:r w:rsidRPr="00621010">
              <w:rPr>
                <w:sz w:val="20"/>
                <w:szCs w:val="20"/>
              </w:rPr>
              <w:t xml:space="preserve">, yanındaki kutucuklarda yer alan </w:t>
            </w:r>
            <w:r w:rsidRPr="00621010">
              <w:rPr>
                <w:bCs/>
                <w:sz w:val="20"/>
                <w:szCs w:val="20"/>
              </w:rPr>
              <w:t xml:space="preserve">“1= </w:t>
            </w:r>
            <w:r w:rsidRPr="00F667C0">
              <w:rPr>
                <w:sz w:val="20"/>
                <w:szCs w:val="20"/>
              </w:rPr>
              <w:t>Bana Hiç Uygun Değil</w:t>
            </w:r>
            <w:r w:rsidRPr="00621010">
              <w:rPr>
                <w:bCs/>
                <w:sz w:val="20"/>
                <w:szCs w:val="20"/>
              </w:rPr>
              <w:t xml:space="preserve">” ile “5= </w:t>
            </w:r>
            <w:r>
              <w:rPr>
                <w:sz w:val="20"/>
                <w:szCs w:val="20"/>
              </w:rPr>
              <w:t>Bana Tamamen Uygun</w:t>
            </w:r>
            <w:r w:rsidRPr="00621010">
              <w:rPr>
                <w:bCs/>
                <w:sz w:val="20"/>
                <w:szCs w:val="20"/>
              </w:rPr>
              <w:t>” arasındaki</w:t>
            </w:r>
            <w:r w:rsidRPr="00621010">
              <w:rPr>
                <w:sz w:val="20"/>
                <w:szCs w:val="20"/>
              </w:rPr>
              <w:t xml:space="preserve"> rakamlardan yalnızca birinin üstüne</w:t>
            </w:r>
            <w:r>
              <w:rPr>
                <w:sz w:val="20"/>
                <w:szCs w:val="20"/>
              </w:rPr>
              <w:t xml:space="preserve"> (X) işareti koyarak gösteriniz.</w:t>
            </w:r>
            <w:r w:rsidRPr="00BA68D8">
              <w:rPr>
                <w:sz w:val="20"/>
                <w:szCs w:val="20"/>
              </w:rPr>
              <w:t xml:space="preserve"> </w:t>
            </w:r>
          </w:p>
          <w:p w:rsidR="00441B4D" w:rsidRPr="0081694C" w:rsidRDefault="00441B4D" w:rsidP="003E0B3A">
            <w:pPr>
              <w:spacing w:after="0" w:line="240" w:lineRule="auto"/>
              <w:jc w:val="left"/>
              <w:rPr>
                <w:b/>
                <w:sz w:val="20"/>
                <w:szCs w:val="20"/>
              </w:rPr>
            </w:pPr>
            <w:r w:rsidRPr="002048D5">
              <w:rPr>
                <w:i/>
                <w:sz w:val="20"/>
                <w:szCs w:val="20"/>
              </w:rPr>
              <w:t>(1) Bana Hiç Uygun Değil (2) Bana Uygun Değil  (3) Bana Biraz Uygun (4) Bana Oldukça Uygun (5) Bana Tamamen Uygun</w:t>
            </w:r>
          </w:p>
        </w:tc>
      </w:tr>
      <w:tr w:rsidR="00441B4D" w:rsidRPr="0081694C" w:rsidTr="003E0B3A">
        <w:trPr>
          <w:trHeight w:hRule="exact" w:val="284"/>
        </w:trPr>
        <w:tc>
          <w:tcPr>
            <w:tcW w:w="364" w:type="dxa"/>
            <w:shd w:val="clear" w:color="auto" w:fill="auto"/>
            <w:noWrap/>
            <w:vAlign w:val="center"/>
            <w:hideMark/>
          </w:tcPr>
          <w:p w:rsidR="00441B4D" w:rsidRPr="0081694C" w:rsidRDefault="00441B4D" w:rsidP="003E0B3A">
            <w:pPr>
              <w:spacing w:before="0" w:after="0" w:line="240" w:lineRule="auto"/>
              <w:jc w:val="left"/>
              <w:rPr>
                <w:sz w:val="20"/>
                <w:szCs w:val="20"/>
              </w:rPr>
            </w:pPr>
            <w:r w:rsidRPr="0081694C">
              <w:rPr>
                <w:sz w:val="20"/>
                <w:szCs w:val="20"/>
              </w:rPr>
              <w:t>1</w:t>
            </w:r>
          </w:p>
        </w:tc>
        <w:tc>
          <w:tcPr>
            <w:tcW w:w="7150" w:type="dxa"/>
            <w:shd w:val="clear" w:color="auto" w:fill="auto"/>
            <w:noWrap/>
            <w:vAlign w:val="center"/>
            <w:hideMark/>
          </w:tcPr>
          <w:p w:rsidR="00441B4D" w:rsidRPr="0081694C" w:rsidRDefault="00441B4D" w:rsidP="003E0B3A">
            <w:pPr>
              <w:spacing w:before="0" w:after="0" w:line="240" w:lineRule="auto"/>
              <w:jc w:val="left"/>
              <w:rPr>
                <w:sz w:val="20"/>
                <w:szCs w:val="20"/>
              </w:rPr>
            </w:pPr>
            <w:r w:rsidRPr="0081694C">
              <w:rPr>
                <w:sz w:val="20"/>
                <w:szCs w:val="20"/>
              </w:rPr>
              <w:t>Başkalarına karşı anlayışlı davranırım.</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5</w:t>
            </w:r>
          </w:p>
        </w:tc>
      </w:tr>
      <w:tr w:rsidR="00441B4D" w:rsidRPr="0081694C" w:rsidTr="003E0B3A">
        <w:trPr>
          <w:trHeight w:hRule="exact" w:val="284"/>
        </w:trPr>
        <w:tc>
          <w:tcPr>
            <w:tcW w:w="364" w:type="dxa"/>
            <w:shd w:val="clear" w:color="auto" w:fill="D9D9D9" w:themeFill="background1" w:themeFillShade="D9"/>
            <w:noWrap/>
            <w:vAlign w:val="center"/>
            <w:hideMark/>
          </w:tcPr>
          <w:p w:rsidR="00441B4D" w:rsidRPr="0081694C" w:rsidRDefault="00441B4D" w:rsidP="003E0B3A">
            <w:pPr>
              <w:spacing w:before="0" w:after="0" w:line="240" w:lineRule="auto"/>
              <w:jc w:val="left"/>
              <w:rPr>
                <w:sz w:val="20"/>
                <w:szCs w:val="20"/>
              </w:rPr>
            </w:pPr>
            <w:r>
              <w:rPr>
                <w:sz w:val="20"/>
                <w:szCs w:val="20"/>
              </w:rPr>
              <w:t>2</w:t>
            </w:r>
          </w:p>
        </w:tc>
        <w:tc>
          <w:tcPr>
            <w:tcW w:w="7150" w:type="dxa"/>
            <w:shd w:val="clear" w:color="auto" w:fill="D9D9D9" w:themeFill="background1" w:themeFillShade="D9"/>
            <w:noWrap/>
            <w:vAlign w:val="center"/>
            <w:hideMark/>
          </w:tcPr>
          <w:p w:rsidR="00441B4D" w:rsidRPr="0081694C" w:rsidRDefault="00441B4D" w:rsidP="003E0B3A">
            <w:pPr>
              <w:spacing w:before="0" w:after="0" w:line="240" w:lineRule="auto"/>
              <w:jc w:val="left"/>
              <w:rPr>
                <w:sz w:val="20"/>
                <w:szCs w:val="20"/>
              </w:rPr>
            </w:pPr>
            <w:r w:rsidRPr="0081694C">
              <w:rPr>
                <w:sz w:val="20"/>
                <w:szCs w:val="20"/>
              </w:rPr>
              <w:t>İnsanları oldukları gibi kabul ederim.</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5</w:t>
            </w:r>
          </w:p>
        </w:tc>
      </w:tr>
      <w:tr w:rsidR="00441B4D" w:rsidRPr="0081694C" w:rsidTr="003E0B3A">
        <w:trPr>
          <w:trHeight w:hRule="exact" w:val="284"/>
        </w:trPr>
        <w:tc>
          <w:tcPr>
            <w:tcW w:w="364" w:type="dxa"/>
            <w:shd w:val="clear" w:color="auto" w:fill="auto"/>
            <w:noWrap/>
            <w:vAlign w:val="center"/>
            <w:hideMark/>
          </w:tcPr>
          <w:p w:rsidR="00441B4D" w:rsidRPr="0081694C" w:rsidRDefault="00441B4D" w:rsidP="003E0B3A">
            <w:pPr>
              <w:spacing w:before="0" w:after="0" w:line="240" w:lineRule="auto"/>
              <w:jc w:val="left"/>
              <w:rPr>
                <w:sz w:val="20"/>
                <w:szCs w:val="20"/>
              </w:rPr>
            </w:pPr>
            <w:r>
              <w:rPr>
                <w:sz w:val="20"/>
                <w:szCs w:val="20"/>
              </w:rPr>
              <w:t>3</w:t>
            </w:r>
          </w:p>
        </w:tc>
        <w:tc>
          <w:tcPr>
            <w:tcW w:w="7150" w:type="dxa"/>
            <w:shd w:val="clear" w:color="auto" w:fill="auto"/>
            <w:noWrap/>
            <w:vAlign w:val="center"/>
            <w:hideMark/>
          </w:tcPr>
          <w:p w:rsidR="00441B4D" w:rsidRPr="0081694C" w:rsidRDefault="00441B4D" w:rsidP="003E0B3A">
            <w:pPr>
              <w:spacing w:before="0" w:after="0" w:line="240" w:lineRule="auto"/>
              <w:jc w:val="left"/>
              <w:rPr>
                <w:sz w:val="20"/>
                <w:szCs w:val="20"/>
              </w:rPr>
            </w:pPr>
            <w:r w:rsidRPr="0081694C">
              <w:rPr>
                <w:sz w:val="20"/>
                <w:szCs w:val="20"/>
              </w:rPr>
              <w:t>Çevremdeki insanların hatalarını hoşgörüyle karşılayabilirim.</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5</w:t>
            </w:r>
          </w:p>
        </w:tc>
      </w:tr>
      <w:tr w:rsidR="00441B4D" w:rsidRPr="0081694C" w:rsidTr="003E0B3A">
        <w:trPr>
          <w:trHeight w:hRule="exact" w:val="284"/>
        </w:trPr>
        <w:tc>
          <w:tcPr>
            <w:tcW w:w="364" w:type="dxa"/>
            <w:shd w:val="clear" w:color="auto" w:fill="D9D9D9" w:themeFill="background1" w:themeFillShade="D9"/>
            <w:noWrap/>
            <w:vAlign w:val="center"/>
            <w:hideMark/>
          </w:tcPr>
          <w:p w:rsidR="00441B4D" w:rsidRPr="0081694C" w:rsidRDefault="00441B4D" w:rsidP="003E0B3A">
            <w:pPr>
              <w:spacing w:before="0" w:after="0" w:line="240" w:lineRule="auto"/>
              <w:jc w:val="left"/>
              <w:rPr>
                <w:sz w:val="20"/>
                <w:szCs w:val="20"/>
              </w:rPr>
            </w:pPr>
            <w:r>
              <w:rPr>
                <w:sz w:val="20"/>
                <w:szCs w:val="20"/>
              </w:rPr>
              <w:t>4</w:t>
            </w:r>
          </w:p>
        </w:tc>
        <w:tc>
          <w:tcPr>
            <w:tcW w:w="7150" w:type="dxa"/>
            <w:shd w:val="clear" w:color="auto" w:fill="D9D9D9" w:themeFill="background1" w:themeFillShade="D9"/>
            <w:noWrap/>
            <w:vAlign w:val="center"/>
            <w:hideMark/>
          </w:tcPr>
          <w:p w:rsidR="00441B4D" w:rsidRPr="0081694C" w:rsidRDefault="00441B4D" w:rsidP="003E0B3A">
            <w:pPr>
              <w:spacing w:before="0" w:after="0" w:line="240" w:lineRule="auto"/>
              <w:jc w:val="left"/>
              <w:rPr>
                <w:sz w:val="20"/>
                <w:szCs w:val="20"/>
              </w:rPr>
            </w:pPr>
            <w:r w:rsidRPr="0081694C">
              <w:rPr>
                <w:sz w:val="20"/>
                <w:szCs w:val="20"/>
              </w:rPr>
              <w:t>Kolay kolay kimseye kin tutmam.</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5</w:t>
            </w:r>
          </w:p>
        </w:tc>
      </w:tr>
      <w:tr w:rsidR="00441B4D" w:rsidRPr="0081694C" w:rsidTr="003E0B3A">
        <w:trPr>
          <w:trHeight w:hRule="exact" w:val="284"/>
        </w:trPr>
        <w:tc>
          <w:tcPr>
            <w:tcW w:w="364" w:type="dxa"/>
            <w:shd w:val="clear" w:color="auto" w:fill="auto"/>
            <w:noWrap/>
            <w:vAlign w:val="center"/>
            <w:hideMark/>
          </w:tcPr>
          <w:p w:rsidR="00441B4D" w:rsidRPr="0081694C" w:rsidRDefault="00441B4D" w:rsidP="003E0B3A">
            <w:pPr>
              <w:spacing w:before="0" w:after="0" w:line="240" w:lineRule="auto"/>
              <w:jc w:val="left"/>
              <w:rPr>
                <w:sz w:val="20"/>
                <w:szCs w:val="20"/>
              </w:rPr>
            </w:pPr>
            <w:r>
              <w:rPr>
                <w:sz w:val="20"/>
                <w:szCs w:val="20"/>
              </w:rPr>
              <w:t>5</w:t>
            </w:r>
          </w:p>
        </w:tc>
        <w:tc>
          <w:tcPr>
            <w:tcW w:w="7150" w:type="dxa"/>
            <w:shd w:val="clear" w:color="auto" w:fill="auto"/>
            <w:noWrap/>
            <w:vAlign w:val="center"/>
            <w:hideMark/>
          </w:tcPr>
          <w:p w:rsidR="00441B4D" w:rsidRPr="0081694C" w:rsidRDefault="00441B4D" w:rsidP="003E0B3A">
            <w:pPr>
              <w:spacing w:before="0" w:after="0" w:line="240" w:lineRule="auto"/>
              <w:jc w:val="left"/>
              <w:rPr>
                <w:sz w:val="20"/>
                <w:szCs w:val="20"/>
              </w:rPr>
            </w:pPr>
            <w:r w:rsidRPr="0081694C">
              <w:rPr>
                <w:sz w:val="20"/>
                <w:szCs w:val="20"/>
              </w:rPr>
              <w:t>Karşımdaki insanla aynı fikirde olmasam da onun görüşlerine saygı duyarım.</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1</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2</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3</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4</w:t>
            </w:r>
          </w:p>
        </w:tc>
        <w:tc>
          <w:tcPr>
            <w:tcW w:w="550" w:type="dxa"/>
            <w:shd w:val="clear" w:color="auto" w:fill="auto"/>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5</w:t>
            </w:r>
          </w:p>
        </w:tc>
      </w:tr>
      <w:tr w:rsidR="00441B4D" w:rsidRPr="0081694C" w:rsidTr="003E0B3A">
        <w:trPr>
          <w:trHeight w:hRule="exact" w:val="284"/>
        </w:trPr>
        <w:tc>
          <w:tcPr>
            <w:tcW w:w="364" w:type="dxa"/>
            <w:shd w:val="clear" w:color="auto" w:fill="D9D9D9" w:themeFill="background1" w:themeFillShade="D9"/>
            <w:noWrap/>
            <w:vAlign w:val="center"/>
            <w:hideMark/>
          </w:tcPr>
          <w:p w:rsidR="00441B4D" w:rsidRPr="0081694C" w:rsidRDefault="00441B4D" w:rsidP="003E0B3A">
            <w:pPr>
              <w:spacing w:before="0" w:after="0" w:line="240" w:lineRule="auto"/>
              <w:jc w:val="left"/>
              <w:rPr>
                <w:sz w:val="20"/>
                <w:szCs w:val="20"/>
              </w:rPr>
            </w:pPr>
            <w:r>
              <w:rPr>
                <w:sz w:val="20"/>
                <w:szCs w:val="20"/>
              </w:rPr>
              <w:t>6</w:t>
            </w:r>
          </w:p>
        </w:tc>
        <w:tc>
          <w:tcPr>
            <w:tcW w:w="7150" w:type="dxa"/>
            <w:shd w:val="clear" w:color="auto" w:fill="D9D9D9" w:themeFill="background1" w:themeFillShade="D9"/>
            <w:noWrap/>
            <w:vAlign w:val="center"/>
            <w:hideMark/>
          </w:tcPr>
          <w:p w:rsidR="00441B4D" w:rsidRPr="0081694C" w:rsidRDefault="00441B4D" w:rsidP="003E0B3A">
            <w:pPr>
              <w:spacing w:before="0" w:after="0" w:line="240" w:lineRule="auto"/>
              <w:jc w:val="left"/>
              <w:rPr>
                <w:sz w:val="20"/>
                <w:szCs w:val="20"/>
              </w:rPr>
            </w:pPr>
            <w:r w:rsidRPr="0081694C">
              <w:rPr>
                <w:sz w:val="20"/>
                <w:szCs w:val="20"/>
              </w:rPr>
              <w:t>Çevremdeki insanlara karşı sabırlı davranırım.</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1</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2</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3</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4</w:t>
            </w:r>
          </w:p>
        </w:tc>
        <w:tc>
          <w:tcPr>
            <w:tcW w:w="550" w:type="dxa"/>
            <w:shd w:val="clear" w:color="auto" w:fill="D9D9D9" w:themeFill="background1" w:themeFillShade="D9"/>
            <w:noWrap/>
            <w:vAlign w:val="center"/>
            <w:hideMark/>
          </w:tcPr>
          <w:p w:rsidR="00441B4D" w:rsidRPr="0081694C" w:rsidRDefault="00441B4D" w:rsidP="003E0B3A">
            <w:pPr>
              <w:spacing w:before="0" w:after="0" w:line="240" w:lineRule="auto"/>
              <w:jc w:val="center"/>
              <w:rPr>
                <w:sz w:val="20"/>
                <w:szCs w:val="20"/>
              </w:rPr>
            </w:pPr>
            <w:r w:rsidRPr="0081694C">
              <w:rPr>
                <w:sz w:val="20"/>
                <w:szCs w:val="20"/>
              </w:rPr>
              <w:t>5</w:t>
            </w:r>
          </w:p>
        </w:tc>
      </w:tr>
    </w:tbl>
    <w:p w:rsidR="00441B4D" w:rsidRDefault="00441B4D" w:rsidP="00441B4D"/>
    <w:p w:rsidR="00FD7281" w:rsidRDefault="00FD7281" w:rsidP="00FD7281">
      <w:pPr>
        <w:spacing w:before="0"/>
        <w:ind w:left="-426" w:right="-567"/>
        <w:rPr>
          <w:bCs/>
          <w:sz w:val="20"/>
          <w:szCs w:val="20"/>
        </w:rPr>
      </w:pPr>
      <w:r>
        <w:rPr>
          <w:b/>
          <w:bCs/>
          <w:sz w:val="20"/>
          <w:szCs w:val="20"/>
        </w:rPr>
        <w:t>Kaynakça:</w:t>
      </w:r>
      <w:r>
        <w:rPr>
          <w:bCs/>
          <w:sz w:val="20"/>
          <w:szCs w:val="20"/>
        </w:rPr>
        <w:t xml:space="preserve"> </w:t>
      </w:r>
    </w:p>
    <w:p w:rsidR="00FD7281" w:rsidRDefault="00FD7281" w:rsidP="00FD7281">
      <w:pPr>
        <w:spacing w:before="0"/>
        <w:ind w:right="-567" w:hanging="426"/>
        <w:rPr>
          <w:bCs/>
          <w:sz w:val="20"/>
          <w:szCs w:val="20"/>
        </w:rPr>
      </w:pPr>
      <w:r>
        <w:rPr>
          <w:color w:val="222222"/>
          <w:sz w:val="20"/>
          <w:szCs w:val="20"/>
          <w:shd w:val="clear" w:color="auto" w:fill="FFFFFF"/>
        </w:rPr>
        <w:t xml:space="preserve">Demirci, İ. &amp; Ekşi. H. (2018). </w:t>
      </w:r>
      <w:proofErr w:type="spellStart"/>
      <w:r>
        <w:rPr>
          <w:color w:val="222222"/>
          <w:sz w:val="20"/>
          <w:szCs w:val="20"/>
          <w:shd w:val="clear" w:color="auto" w:fill="FFFFFF"/>
        </w:rPr>
        <w:t>Keep</w:t>
      </w:r>
      <w:proofErr w:type="spellEnd"/>
      <w:r>
        <w:rPr>
          <w:color w:val="222222"/>
          <w:sz w:val="20"/>
          <w:szCs w:val="20"/>
          <w:shd w:val="clear" w:color="auto" w:fill="FFFFFF"/>
        </w:rPr>
        <w:t xml:space="preserve"> </w:t>
      </w:r>
      <w:proofErr w:type="spellStart"/>
      <w:r>
        <w:rPr>
          <w:color w:val="222222"/>
          <w:sz w:val="20"/>
          <w:szCs w:val="20"/>
          <w:shd w:val="clear" w:color="auto" w:fill="FFFFFF"/>
        </w:rPr>
        <w:t>calm</w:t>
      </w:r>
      <w:proofErr w:type="spellEnd"/>
      <w:r>
        <w:rPr>
          <w:color w:val="222222"/>
          <w:sz w:val="20"/>
          <w:szCs w:val="20"/>
          <w:shd w:val="clear" w:color="auto" w:fill="FFFFFF"/>
        </w:rPr>
        <w:t xml:space="preserve"> and be </w:t>
      </w:r>
      <w:proofErr w:type="spellStart"/>
      <w:r>
        <w:rPr>
          <w:color w:val="222222"/>
          <w:sz w:val="20"/>
          <w:szCs w:val="20"/>
          <w:shd w:val="clear" w:color="auto" w:fill="FFFFFF"/>
        </w:rPr>
        <w:t>happy</w:t>
      </w:r>
      <w:proofErr w:type="spellEnd"/>
      <w:r>
        <w:rPr>
          <w:color w:val="222222"/>
          <w:sz w:val="20"/>
          <w:szCs w:val="20"/>
          <w:shd w:val="clear" w:color="auto" w:fill="FFFFFF"/>
        </w:rPr>
        <w:t xml:space="preserve">: A </w:t>
      </w:r>
      <w:proofErr w:type="spellStart"/>
      <w:r>
        <w:rPr>
          <w:color w:val="222222"/>
          <w:sz w:val="20"/>
          <w:szCs w:val="20"/>
          <w:shd w:val="clear" w:color="auto" w:fill="FFFFFF"/>
        </w:rPr>
        <w:t>mixed</w:t>
      </w:r>
      <w:proofErr w:type="spellEnd"/>
      <w:r>
        <w:rPr>
          <w:color w:val="222222"/>
          <w:sz w:val="20"/>
          <w:szCs w:val="20"/>
          <w:shd w:val="clear" w:color="auto" w:fill="FFFFFF"/>
        </w:rPr>
        <w:t xml:space="preserve"> </w:t>
      </w:r>
      <w:proofErr w:type="spellStart"/>
      <w:r>
        <w:rPr>
          <w:color w:val="222222"/>
          <w:sz w:val="20"/>
          <w:szCs w:val="20"/>
          <w:shd w:val="clear" w:color="auto" w:fill="FFFFFF"/>
        </w:rPr>
        <w:t>method</w:t>
      </w:r>
      <w:proofErr w:type="spellEnd"/>
      <w:r>
        <w:rPr>
          <w:color w:val="222222"/>
          <w:sz w:val="20"/>
          <w:szCs w:val="20"/>
          <w:shd w:val="clear" w:color="auto" w:fill="FFFFFF"/>
        </w:rPr>
        <w:t xml:space="preserve"> </w:t>
      </w:r>
      <w:proofErr w:type="spellStart"/>
      <w:r>
        <w:rPr>
          <w:color w:val="222222"/>
          <w:sz w:val="20"/>
          <w:szCs w:val="20"/>
          <w:shd w:val="clear" w:color="auto" w:fill="FFFFFF"/>
        </w:rPr>
        <w:t>study</w:t>
      </w:r>
      <w:proofErr w:type="spellEnd"/>
      <w:r>
        <w:rPr>
          <w:color w:val="222222"/>
          <w:sz w:val="20"/>
          <w:szCs w:val="20"/>
          <w:shd w:val="clear" w:color="auto" w:fill="FFFFFF"/>
        </w:rPr>
        <w:t xml:space="preserve"> </w:t>
      </w:r>
      <w:proofErr w:type="spellStart"/>
      <w:r>
        <w:rPr>
          <w:color w:val="222222"/>
          <w:sz w:val="20"/>
          <w:szCs w:val="20"/>
          <w:shd w:val="clear" w:color="auto" w:fill="FFFFFF"/>
        </w:rPr>
        <w:t>from</w:t>
      </w:r>
      <w:proofErr w:type="spellEnd"/>
      <w:r>
        <w:rPr>
          <w:color w:val="222222"/>
          <w:sz w:val="20"/>
          <w:szCs w:val="20"/>
          <w:shd w:val="clear" w:color="auto" w:fill="FFFFFF"/>
        </w:rPr>
        <w:t xml:space="preserve"> </w:t>
      </w:r>
      <w:proofErr w:type="spellStart"/>
      <w:r>
        <w:rPr>
          <w:color w:val="222222"/>
          <w:sz w:val="20"/>
          <w:szCs w:val="20"/>
          <w:shd w:val="clear" w:color="auto" w:fill="FFFFFF"/>
        </w:rPr>
        <w:t>character</w:t>
      </w:r>
      <w:proofErr w:type="spellEnd"/>
      <w:r>
        <w:rPr>
          <w:color w:val="222222"/>
          <w:sz w:val="20"/>
          <w:szCs w:val="20"/>
          <w:shd w:val="clear" w:color="auto" w:fill="FFFFFF"/>
        </w:rPr>
        <w:t xml:space="preserve"> </w:t>
      </w:r>
      <w:proofErr w:type="spellStart"/>
      <w:r>
        <w:rPr>
          <w:color w:val="222222"/>
          <w:sz w:val="20"/>
          <w:szCs w:val="20"/>
          <w:shd w:val="clear" w:color="auto" w:fill="FFFFFF"/>
        </w:rPr>
        <w:t>strengths</w:t>
      </w:r>
      <w:proofErr w:type="spellEnd"/>
      <w:r>
        <w:rPr>
          <w:color w:val="222222"/>
          <w:sz w:val="20"/>
          <w:szCs w:val="20"/>
          <w:shd w:val="clear" w:color="auto" w:fill="FFFFFF"/>
        </w:rPr>
        <w:t xml:space="preserve"> to </w:t>
      </w:r>
      <w:proofErr w:type="spellStart"/>
      <w:r>
        <w:rPr>
          <w:color w:val="222222"/>
          <w:sz w:val="20"/>
          <w:szCs w:val="20"/>
          <w:shd w:val="clear" w:color="auto" w:fill="FFFFFF"/>
        </w:rPr>
        <w:t>well-being</w:t>
      </w:r>
      <w:proofErr w:type="spellEnd"/>
      <w:r>
        <w:rPr>
          <w:color w:val="222222"/>
          <w:sz w:val="20"/>
          <w:szCs w:val="20"/>
          <w:shd w:val="clear" w:color="auto" w:fill="FFFFFF"/>
        </w:rPr>
        <w:t xml:space="preserve">.  </w:t>
      </w:r>
      <w:proofErr w:type="spellStart"/>
      <w:r>
        <w:rPr>
          <w:i/>
          <w:iCs/>
          <w:color w:val="222222"/>
          <w:sz w:val="20"/>
          <w:szCs w:val="20"/>
        </w:rPr>
        <w:t>Educational</w:t>
      </w:r>
      <w:proofErr w:type="spellEnd"/>
      <w:r>
        <w:rPr>
          <w:i/>
          <w:iCs/>
          <w:color w:val="222222"/>
          <w:sz w:val="20"/>
          <w:szCs w:val="20"/>
        </w:rPr>
        <w:t xml:space="preserve"> </w:t>
      </w:r>
      <w:proofErr w:type="spellStart"/>
      <w:r>
        <w:rPr>
          <w:i/>
          <w:iCs/>
          <w:color w:val="222222"/>
          <w:sz w:val="20"/>
          <w:szCs w:val="20"/>
        </w:rPr>
        <w:t>Sciences</w:t>
      </w:r>
      <w:proofErr w:type="spellEnd"/>
      <w:r>
        <w:rPr>
          <w:i/>
          <w:iCs/>
          <w:color w:val="222222"/>
          <w:sz w:val="20"/>
          <w:szCs w:val="20"/>
        </w:rPr>
        <w:t xml:space="preserve">: </w:t>
      </w:r>
      <w:proofErr w:type="spellStart"/>
      <w:r>
        <w:rPr>
          <w:i/>
          <w:iCs/>
          <w:color w:val="222222"/>
          <w:sz w:val="20"/>
          <w:szCs w:val="20"/>
        </w:rPr>
        <w:t>Theory</w:t>
      </w:r>
      <w:proofErr w:type="spellEnd"/>
      <w:r>
        <w:rPr>
          <w:i/>
          <w:iCs/>
          <w:color w:val="222222"/>
          <w:sz w:val="20"/>
          <w:szCs w:val="20"/>
        </w:rPr>
        <w:t xml:space="preserve"> &amp; </w:t>
      </w:r>
      <w:proofErr w:type="spellStart"/>
      <w:r>
        <w:rPr>
          <w:i/>
          <w:iCs/>
          <w:color w:val="222222"/>
          <w:sz w:val="20"/>
          <w:szCs w:val="20"/>
        </w:rPr>
        <w:t>Practice</w:t>
      </w:r>
      <w:proofErr w:type="spellEnd"/>
      <w:r>
        <w:rPr>
          <w:i/>
          <w:iCs/>
          <w:color w:val="222222"/>
          <w:sz w:val="20"/>
          <w:szCs w:val="20"/>
        </w:rPr>
        <w:t xml:space="preserve"> 18(29) </w:t>
      </w:r>
      <w:r>
        <w:rPr>
          <w:color w:val="222222"/>
          <w:sz w:val="20"/>
          <w:szCs w:val="20"/>
          <w:shd w:val="clear" w:color="auto" w:fill="FFFFFF"/>
        </w:rPr>
        <w:t>303–354.</w:t>
      </w:r>
      <w:r>
        <w:rPr>
          <w:i/>
          <w:iCs/>
          <w:color w:val="222222"/>
          <w:sz w:val="20"/>
          <w:szCs w:val="20"/>
        </w:rPr>
        <w:t xml:space="preserve"> </w:t>
      </w:r>
      <w:r>
        <w:rPr>
          <w:rFonts w:eastAsia="Calibri"/>
          <w:color w:val="222222"/>
          <w:sz w:val="20"/>
          <w:szCs w:val="20"/>
          <w:shd w:val="clear" w:color="auto" w:fill="FFFFFF"/>
          <w:lang w:eastAsia="en-US"/>
        </w:rPr>
        <w:t>http://dx.doi.org/</w:t>
      </w:r>
      <w:proofErr w:type="gramStart"/>
      <w:r>
        <w:rPr>
          <w:color w:val="222222"/>
          <w:sz w:val="20"/>
          <w:szCs w:val="20"/>
          <w:shd w:val="clear" w:color="auto" w:fill="FFFFFF"/>
        </w:rPr>
        <w:t>10.12738</w:t>
      </w:r>
      <w:proofErr w:type="gramEnd"/>
      <w:r>
        <w:rPr>
          <w:color w:val="222222"/>
          <w:sz w:val="20"/>
          <w:szCs w:val="20"/>
          <w:shd w:val="clear" w:color="auto" w:fill="FFFFFF"/>
        </w:rPr>
        <w:t>/estp.2018.2.0799</w:t>
      </w:r>
    </w:p>
    <w:p w:rsidR="00FD7281" w:rsidRDefault="00FD7281" w:rsidP="00FD7281">
      <w:pPr>
        <w:spacing w:before="0"/>
        <w:ind w:right="-567" w:hanging="426"/>
        <w:rPr>
          <w:bCs/>
          <w:sz w:val="20"/>
          <w:szCs w:val="20"/>
        </w:rPr>
      </w:pPr>
      <w:r>
        <w:rPr>
          <w:bCs/>
          <w:sz w:val="20"/>
          <w:szCs w:val="20"/>
        </w:rPr>
        <w:t xml:space="preserve">Demirci, İ. (2017). </w:t>
      </w:r>
      <w:r>
        <w:rPr>
          <w:bCs/>
          <w:i/>
          <w:sz w:val="20"/>
          <w:szCs w:val="20"/>
        </w:rPr>
        <w:t>Huzurlu ve mutlu yaşamın değerler ve karakter güçleri bağlamında karma bir araştırmayla incelenmesi</w:t>
      </w:r>
      <w:r>
        <w:rPr>
          <w:bCs/>
          <w:sz w:val="20"/>
          <w:szCs w:val="20"/>
        </w:rPr>
        <w:t xml:space="preserve"> (D</w:t>
      </w:r>
      <w:r>
        <w:rPr>
          <w:sz w:val="20"/>
          <w:szCs w:val="20"/>
        </w:rPr>
        <w:t>oktora tezi, Marmara Üniversitesi, Eğitim Bilimleri Enstitüsü, İstanbul).</w:t>
      </w:r>
    </w:p>
    <w:p w:rsidR="00441B4D" w:rsidRPr="00D42259" w:rsidRDefault="00441B4D" w:rsidP="00441B4D">
      <w:pPr>
        <w:spacing w:before="0" w:line="240" w:lineRule="auto"/>
        <w:ind w:left="-426"/>
        <w:rPr>
          <w:b/>
          <w:sz w:val="20"/>
          <w:szCs w:val="20"/>
        </w:rPr>
      </w:pPr>
      <w:r w:rsidRPr="00D42259">
        <w:rPr>
          <w:b/>
          <w:sz w:val="20"/>
          <w:szCs w:val="20"/>
        </w:rPr>
        <w:t>Puanlama Yönergesi</w:t>
      </w:r>
    </w:p>
    <w:p w:rsidR="00441B4D" w:rsidRPr="00D42259" w:rsidRDefault="00441B4D" w:rsidP="00441B4D">
      <w:pPr>
        <w:spacing w:before="0" w:line="240" w:lineRule="auto"/>
        <w:ind w:left="-426"/>
        <w:rPr>
          <w:sz w:val="20"/>
          <w:szCs w:val="20"/>
        </w:rPr>
      </w:pPr>
      <w:r w:rsidRPr="00D42259">
        <w:rPr>
          <w:b/>
          <w:sz w:val="20"/>
          <w:szCs w:val="20"/>
        </w:rPr>
        <w:t>Alt boyut ve madde sayısı:</w:t>
      </w:r>
      <w:r w:rsidRPr="00D42259">
        <w:rPr>
          <w:sz w:val="20"/>
          <w:szCs w:val="20"/>
        </w:rPr>
        <w:t xml:space="preserve"> Tek boyut ve 6 madde</w:t>
      </w:r>
    </w:p>
    <w:p w:rsidR="00441B4D" w:rsidRPr="00D42259" w:rsidRDefault="00441B4D" w:rsidP="00441B4D">
      <w:pPr>
        <w:spacing w:before="0" w:line="240" w:lineRule="auto"/>
        <w:ind w:left="-426"/>
        <w:rPr>
          <w:sz w:val="20"/>
          <w:szCs w:val="20"/>
        </w:rPr>
      </w:pPr>
      <w:r w:rsidRPr="00D42259">
        <w:rPr>
          <w:b/>
          <w:sz w:val="20"/>
          <w:szCs w:val="20"/>
        </w:rPr>
        <w:t>Ölçeğin bulunan ters maddeler:</w:t>
      </w:r>
      <w:r w:rsidRPr="00D42259">
        <w:rPr>
          <w:sz w:val="20"/>
          <w:szCs w:val="20"/>
        </w:rPr>
        <w:t xml:space="preserve"> Ölçekte ters madde bulunmamaktadır.</w:t>
      </w:r>
    </w:p>
    <w:p w:rsidR="00441B4D" w:rsidRPr="00D42259" w:rsidRDefault="00441B4D" w:rsidP="00441B4D">
      <w:pPr>
        <w:spacing w:line="240" w:lineRule="auto"/>
        <w:ind w:left="-426"/>
        <w:rPr>
          <w:sz w:val="20"/>
          <w:szCs w:val="20"/>
        </w:rPr>
      </w:pPr>
      <w:r w:rsidRPr="00D42259">
        <w:rPr>
          <w:b/>
          <w:sz w:val="20"/>
          <w:szCs w:val="20"/>
        </w:rPr>
        <w:t>İletişim adresi:</w:t>
      </w:r>
      <w:r w:rsidRPr="00D42259">
        <w:rPr>
          <w:sz w:val="20"/>
          <w:szCs w:val="20"/>
        </w:rPr>
        <w:t xml:space="preserve"> </w:t>
      </w:r>
      <w:hyperlink r:id="rId7" w:history="1">
        <w:r w:rsidRPr="00D42259">
          <w:rPr>
            <w:rStyle w:val="Kpr"/>
            <w:sz w:val="20"/>
            <w:szCs w:val="20"/>
          </w:rPr>
          <w:t>ibrahimdemircipdr@gmail.com</w:t>
        </w:r>
      </w:hyperlink>
    </w:p>
    <w:p w:rsidR="00441B4D" w:rsidRPr="00D42259" w:rsidRDefault="00441B4D" w:rsidP="00441B4D">
      <w:pPr>
        <w:spacing w:line="240" w:lineRule="auto"/>
        <w:ind w:left="-426"/>
        <w:rPr>
          <w:sz w:val="20"/>
          <w:szCs w:val="20"/>
        </w:rPr>
      </w:pPr>
      <w:r w:rsidRPr="00D42259">
        <w:rPr>
          <w:b/>
          <w:sz w:val="20"/>
          <w:szCs w:val="20"/>
        </w:rPr>
        <w:t>*Ölçeğin kullanılması için izin alınmasına gerek yoktur.</w:t>
      </w:r>
      <w:r w:rsidRPr="00D42259">
        <w:rPr>
          <w:sz w:val="20"/>
          <w:szCs w:val="20"/>
        </w:rPr>
        <w:t xml:space="preserve"> </w:t>
      </w:r>
    </w:p>
    <w:p w:rsidR="00441B4D" w:rsidRDefault="00441B4D" w:rsidP="00441B4D">
      <w:pPr>
        <w:spacing w:line="240" w:lineRule="auto"/>
        <w:ind w:left="-426"/>
        <w:rPr>
          <w:b/>
          <w:sz w:val="20"/>
          <w:szCs w:val="20"/>
        </w:rPr>
      </w:pPr>
      <w:r w:rsidRPr="00D42259">
        <w:rPr>
          <w:b/>
          <w:sz w:val="20"/>
          <w:szCs w:val="20"/>
        </w:rPr>
        <w:t>**Ölçeğin kullanıldığı araştırmanın referans bilgilerinin gönderilmesi beklenmektedir.</w:t>
      </w:r>
    </w:p>
    <w:p w:rsidR="00441B4D" w:rsidRDefault="00441B4D" w:rsidP="00441B4D">
      <w:pPr>
        <w:pStyle w:val="Balk4"/>
        <w:spacing w:before="0" w:after="120" w:line="360" w:lineRule="auto"/>
        <w:ind w:left="-426" w:right="-567"/>
        <w:rPr>
          <w:sz w:val="20"/>
          <w:lang w:val="tr-TR"/>
        </w:rPr>
      </w:pPr>
    </w:p>
    <w:p w:rsidR="00441B4D" w:rsidRDefault="00441B4D" w:rsidP="00441B4D">
      <w:pPr>
        <w:pStyle w:val="Balk4"/>
        <w:spacing w:before="0" w:after="120" w:line="360" w:lineRule="auto"/>
        <w:ind w:left="-426" w:right="-567"/>
        <w:jc w:val="center"/>
        <w:rPr>
          <w:sz w:val="20"/>
          <w:lang w:val="tr-TR"/>
        </w:rPr>
      </w:pPr>
      <w:r>
        <w:rPr>
          <w:sz w:val="20"/>
          <w:lang w:val="tr-TR"/>
        </w:rPr>
        <w:t xml:space="preserve">Hoşgörü </w:t>
      </w:r>
      <w:r w:rsidRPr="00D42259">
        <w:rPr>
          <w:sz w:val="20"/>
        </w:rPr>
        <w:t>Ölçeği</w:t>
      </w:r>
      <w:r w:rsidRPr="00D42259">
        <w:rPr>
          <w:sz w:val="20"/>
          <w:lang w:val="tr-TR"/>
        </w:rPr>
        <w:t xml:space="preserve">’nin </w:t>
      </w:r>
      <w:proofErr w:type="spellStart"/>
      <w:r w:rsidRPr="00D42259">
        <w:rPr>
          <w:sz w:val="20"/>
          <w:lang w:val="tr-TR"/>
        </w:rPr>
        <w:t>Psikometrik</w:t>
      </w:r>
      <w:proofErr w:type="spellEnd"/>
      <w:r w:rsidRPr="00D42259">
        <w:rPr>
          <w:sz w:val="20"/>
          <w:lang w:val="tr-TR"/>
        </w:rPr>
        <w:t xml:space="preserve"> Özellikleri</w:t>
      </w:r>
    </w:p>
    <w:p w:rsidR="00441B4D" w:rsidRPr="00F05CED" w:rsidRDefault="00441B4D" w:rsidP="00441B4D">
      <w:pPr>
        <w:pStyle w:val="Balk4"/>
        <w:spacing w:before="0" w:after="120" w:line="360" w:lineRule="auto"/>
        <w:ind w:left="-426" w:right="-567"/>
        <w:rPr>
          <w:b w:val="0"/>
          <w:sz w:val="20"/>
          <w:lang w:val="tr-TR"/>
        </w:rPr>
      </w:pPr>
      <w:r w:rsidRPr="00F05CED">
        <w:rPr>
          <w:sz w:val="20"/>
          <w:lang w:val="tr-TR"/>
        </w:rPr>
        <w:t>Açımlayıcı faktör analizi:</w:t>
      </w:r>
      <w:r w:rsidRPr="00F05CED">
        <w:rPr>
          <w:b w:val="0"/>
          <w:sz w:val="20"/>
          <w:lang w:val="tr-TR"/>
        </w:rPr>
        <w:t xml:space="preserve"> </w:t>
      </w:r>
      <w:r w:rsidRPr="00CB55D9">
        <w:rPr>
          <w:b w:val="0"/>
          <w:sz w:val="20"/>
        </w:rPr>
        <w:t xml:space="preserve">Hoşgörü Ölçeği’nin yapı geçerliğini değerlendirmek için yapılan açımlayıcı faktör analizi sonucunda toplam varyansın %41.854’ünü açıklayan </w:t>
      </w:r>
      <w:proofErr w:type="spellStart"/>
      <w:r w:rsidRPr="00CB55D9">
        <w:rPr>
          <w:b w:val="0"/>
          <w:sz w:val="20"/>
        </w:rPr>
        <w:t>özdeğeri</w:t>
      </w:r>
      <w:proofErr w:type="spellEnd"/>
      <w:r w:rsidRPr="00CB55D9">
        <w:rPr>
          <w:b w:val="0"/>
          <w:sz w:val="20"/>
        </w:rPr>
        <w:t xml:space="preserve"> 2.511 olan ve 6 maddeden oluşan tek boyutlu bir yapıya sahip olduğu bulunmuştur. Ölçekteki maddelerin faktör yükleri .57 ile .70 arasında sıralanmaktadır.</w:t>
      </w:r>
    </w:p>
    <w:p w:rsidR="00441B4D" w:rsidRPr="00F05CED" w:rsidRDefault="00441B4D" w:rsidP="00441B4D">
      <w:pPr>
        <w:spacing w:before="0"/>
        <w:ind w:left="-426" w:right="-567"/>
        <w:rPr>
          <w:sz w:val="20"/>
          <w:szCs w:val="20"/>
        </w:rPr>
      </w:pPr>
      <w:r w:rsidRPr="00F05CED">
        <w:rPr>
          <w:b/>
          <w:sz w:val="20"/>
        </w:rPr>
        <w:t>Doğrulayıcı faktör analizi:</w:t>
      </w:r>
      <w:r w:rsidRPr="00F05CED">
        <w:rPr>
          <w:sz w:val="20"/>
        </w:rPr>
        <w:t xml:space="preserve"> </w:t>
      </w:r>
      <w:r w:rsidRPr="00F05CED">
        <w:rPr>
          <w:sz w:val="20"/>
          <w:szCs w:val="20"/>
        </w:rPr>
        <w:t xml:space="preserve">Hoşgörü Ölçeği’nin tek boyutlu yapısını değerlendirmek üzere uygulanan doğrulayıcı sonucunda elde edilen uyum indeksi değerleri; </w:t>
      </w:r>
      <w:r w:rsidRPr="00F05CED">
        <w:rPr>
          <w:i/>
          <w:iCs/>
          <w:sz w:val="20"/>
          <w:szCs w:val="20"/>
        </w:rPr>
        <w:t>χ</w:t>
      </w:r>
      <w:r w:rsidRPr="00F05CED">
        <w:rPr>
          <w:sz w:val="20"/>
          <w:szCs w:val="20"/>
          <w:vertAlign w:val="superscript"/>
        </w:rPr>
        <w:t>2</w:t>
      </w:r>
      <w:r w:rsidRPr="00F05CED">
        <w:rPr>
          <w:sz w:val="20"/>
          <w:szCs w:val="20"/>
        </w:rPr>
        <w:t xml:space="preserve"> </w:t>
      </w:r>
      <w:r w:rsidRPr="00F05CED">
        <w:rPr>
          <w:sz w:val="20"/>
          <w:szCs w:val="20"/>
          <w:vertAlign w:val="subscript"/>
        </w:rPr>
        <w:t xml:space="preserve">(9, N = 450) </w:t>
      </w:r>
      <w:r w:rsidRPr="00F05CED">
        <w:rPr>
          <w:sz w:val="20"/>
          <w:szCs w:val="20"/>
        </w:rPr>
        <w:t xml:space="preserve">= </w:t>
      </w:r>
      <w:r w:rsidRPr="00F05CED">
        <w:rPr>
          <w:rFonts w:eastAsia="Calibri"/>
          <w:sz w:val="20"/>
          <w:szCs w:val="20"/>
        </w:rPr>
        <w:t>12,92</w:t>
      </w:r>
      <w:r w:rsidRPr="00F05CED">
        <w:rPr>
          <w:sz w:val="20"/>
          <w:szCs w:val="20"/>
        </w:rPr>
        <w:t xml:space="preserve">, </w:t>
      </w:r>
      <w:r w:rsidRPr="00F05CED">
        <w:rPr>
          <w:i/>
          <w:iCs/>
          <w:sz w:val="20"/>
          <w:szCs w:val="20"/>
        </w:rPr>
        <w:t xml:space="preserve">p </w:t>
      </w:r>
      <w:r w:rsidRPr="00F05CED">
        <w:rPr>
          <w:sz w:val="20"/>
          <w:szCs w:val="20"/>
        </w:rPr>
        <w:t xml:space="preserve">&lt; .001; CFI = .99; NFI = .98; NNFI = .99; SRMR = .025; RMSEA = .031 şeklinde bulunmuştur. Ölçeğin faktör </w:t>
      </w:r>
      <w:proofErr w:type="gramStart"/>
      <w:r w:rsidRPr="00F05CED">
        <w:rPr>
          <w:sz w:val="20"/>
          <w:szCs w:val="20"/>
        </w:rPr>
        <w:t>yükleri .46</w:t>
      </w:r>
      <w:proofErr w:type="gramEnd"/>
      <w:r w:rsidRPr="00F05CED">
        <w:rPr>
          <w:sz w:val="20"/>
          <w:szCs w:val="20"/>
        </w:rPr>
        <w:t xml:space="preserve"> ile .62 arasında değişmektedir.</w:t>
      </w:r>
    </w:p>
    <w:p w:rsidR="00441B4D" w:rsidRPr="00F05CED" w:rsidRDefault="00441B4D" w:rsidP="00441B4D">
      <w:pPr>
        <w:spacing w:before="0"/>
        <w:ind w:left="-426" w:right="-567"/>
        <w:rPr>
          <w:sz w:val="20"/>
          <w:szCs w:val="20"/>
        </w:rPr>
      </w:pPr>
      <w:r w:rsidRPr="00F05CED">
        <w:rPr>
          <w:b/>
          <w:sz w:val="20"/>
        </w:rPr>
        <w:t>Ölçüt-bağıntılı geçerlik:</w:t>
      </w:r>
      <w:r w:rsidRPr="00F05CED">
        <w:rPr>
          <w:sz w:val="20"/>
        </w:rPr>
        <w:t xml:space="preserve"> </w:t>
      </w:r>
      <w:r w:rsidRPr="00F05CED">
        <w:rPr>
          <w:sz w:val="20"/>
          <w:szCs w:val="20"/>
        </w:rPr>
        <w:t xml:space="preserve">Hoşgörü Ölçeği'nin ölçüt-bağıntılı geçerliği için Portre Değerler Anketi’nin evrensellik, iyilikseverlik, geleneksellik ve uyma alt ölçekleri ile arasındaki ilişkiler 45 katılımcıdan toplanan verilerle incelenmiştir. Hoşgörü Ölçeği evrensellik (.38), iyilikseverlik  (.50), geleneksellik (.36) ve uyma (.48) ile pozitif ilişkili bulunmuştur. </w:t>
      </w:r>
    </w:p>
    <w:p w:rsidR="00441B4D" w:rsidRDefault="00441B4D" w:rsidP="00441B4D">
      <w:pPr>
        <w:pStyle w:val="Balk4"/>
        <w:spacing w:before="0" w:after="120" w:line="360" w:lineRule="auto"/>
        <w:ind w:left="-426" w:right="-567"/>
        <w:rPr>
          <w:b w:val="0"/>
          <w:sz w:val="20"/>
          <w:lang w:val="tr-TR"/>
        </w:rPr>
      </w:pPr>
      <w:r w:rsidRPr="00F05CED">
        <w:rPr>
          <w:sz w:val="20"/>
          <w:lang w:val="tr-TR"/>
        </w:rPr>
        <w:t>Güvenirlik:</w:t>
      </w:r>
      <w:r>
        <w:rPr>
          <w:b w:val="0"/>
          <w:sz w:val="20"/>
          <w:lang w:val="tr-TR"/>
        </w:rPr>
        <w:t xml:space="preserve"> </w:t>
      </w:r>
      <w:r w:rsidRPr="00593A06">
        <w:rPr>
          <w:b w:val="0"/>
          <w:sz w:val="20"/>
        </w:rPr>
        <w:t xml:space="preserve">Ölçeğin Cronbach alpha iç tutarlılık </w:t>
      </w:r>
      <w:proofErr w:type="gramStart"/>
      <w:r w:rsidRPr="00593A06">
        <w:rPr>
          <w:b w:val="0"/>
          <w:sz w:val="20"/>
        </w:rPr>
        <w:t>katsayısı .72</w:t>
      </w:r>
      <w:proofErr w:type="gramEnd"/>
      <w:r w:rsidRPr="00593A06">
        <w:rPr>
          <w:b w:val="0"/>
          <w:sz w:val="20"/>
        </w:rPr>
        <w:t xml:space="preserve"> olarak hesaplanmıştır. Ölçeğin üç hafta arayla 32 katılımcıya yeniden uygulanmasından elde edilen test-tekrar test güvenirlik katsayısı .79 olarak bulunmuştur.</w:t>
      </w:r>
    </w:p>
    <w:p w:rsidR="00441B4D" w:rsidRPr="00F05CED" w:rsidRDefault="00441B4D" w:rsidP="00441B4D">
      <w:pPr>
        <w:spacing w:before="0"/>
        <w:ind w:left="-426" w:right="-567"/>
        <w:rPr>
          <w:sz w:val="20"/>
          <w:szCs w:val="20"/>
        </w:rPr>
      </w:pPr>
      <w:r w:rsidRPr="00593A06">
        <w:rPr>
          <w:b/>
          <w:bCs/>
          <w:iCs/>
          <w:sz w:val="20"/>
          <w:szCs w:val="20"/>
        </w:rPr>
        <w:t>Madde analizi:</w:t>
      </w:r>
      <w:r>
        <w:rPr>
          <w:bCs/>
          <w:iCs/>
          <w:sz w:val="20"/>
        </w:rPr>
        <w:t xml:space="preserve"> </w:t>
      </w:r>
      <w:r w:rsidRPr="00F05CED">
        <w:rPr>
          <w:sz w:val="20"/>
          <w:szCs w:val="20"/>
        </w:rPr>
        <w:t xml:space="preserve">Ölçekteki maddelerin düzeltilmiş madde toplam puan </w:t>
      </w:r>
      <w:proofErr w:type="gramStart"/>
      <w:r w:rsidRPr="00F05CED">
        <w:rPr>
          <w:sz w:val="20"/>
          <w:szCs w:val="20"/>
        </w:rPr>
        <w:t>korelasyonları .38</w:t>
      </w:r>
      <w:proofErr w:type="gramEnd"/>
      <w:r w:rsidRPr="00F05CED">
        <w:rPr>
          <w:sz w:val="20"/>
          <w:szCs w:val="20"/>
        </w:rPr>
        <w:t xml:space="preserve"> ile .51 arasında değişmektedir. </w:t>
      </w:r>
    </w:p>
    <w:p w:rsidR="00441B4D" w:rsidRPr="0081694C" w:rsidRDefault="00441B4D" w:rsidP="00441B4D">
      <w:pPr>
        <w:tabs>
          <w:tab w:val="left" w:pos="3081"/>
        </w:tabs>
      </w:pPr>
    </w:p>
    <w:p w:rsidR="00441B4D" w:rsidRPr="0081694C" w:rsidRDefault="00441B4D" w:rsidP="00441B4D">
      <w:bookmarkStart w:id="0" w:name="_GoBack"/>
      <w:bookmarkEnd w:id="0"/>
    </w:p>
    <w:sectPr w:rsidR="00441B4D" w:rsidRPr="0081694C" w:rsidSect="00593A06">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F2" w:rsidRDefault="004479F2" w:rsidP="00B52E24">
      <w:pPr>
        <w:spacing w:before="0" w:after="0" w:line="240" w:lineRule="auto"/>
      </w:pPr>
      <w:r>
        <w:separator/>
      </w:r>
    </w:p>
  </w:endnote>
  <w:endnote w:type="continuationSeparator" w:id="0">
    <w:p w:rsidR="004479F2" w:rsidRDefault="004479F2" w:rsidP="00B52E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F2" w:rsidRDefault="004479F2" w:rsidP="00B52E24">
      <w:pPr>
        <w:spacing w:before="0" w:after="0" w:line="240" w:lineRule="auto"/>
      </w:pPr>
      <w:r>
        <w:separator/>
      </w:r>
    </w:p>
  </w:footnote>
  <w:footnote w:type="continuationSeparator" w:id="0">
    <w:p w:rsidR="004479F2" w:rsidRDefault="004479F2" w:rsidP="00B52E2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D0"/>
    <w:rsid w:val="00032A77"/>
    <w:rsid w:val="002048D5"/>
    <w:rsid w:val="00334913"/>
    <w:rsid w:val="00441B4D"/>
    <w:rsid w:val="004479F2"/>
    <w:rsid w:val="00593A06"/>
    <w:rsid w:val="00631647"/>
    <w:rsid w:val="00666599"/>
    <w:rsid w:val="006953D0"/>
    <w:rsid w:val="009B4E56"/>
    <w:rsid w:val="00AC65DC"/>
    <w:rsid w:val="00B52E24"/>
    <w:rsid w:val="00CB55D9"/>
    <w:rsid w:val="00CD1F4D"/>
    <w:rsid w:val="00D42259"/>
    <w:rsid w:val="00D715FD"/>
    <w:rsid w:val="00DD6B0E"/>
    <w:rsid w:val="00F05CED"/>
    <w:rsid w:val="00F210D7"/>
    <w:rsid w:val="00FD7281"/>
    <w:rsid w:val="00FE0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24"/>
    <w:pPr>
      <w:spacing w:before="120" w:after="120" w:line="360" w:lineRule="auto"/>
      <w:jc w:val="both"/>
    </w:pPr>
    <w:rPr>
      <w:rFonts w:ascii="Times New Roman" w:eastAsia="Times New Roman" w:hAnsi="Times New Roman" w:cs="Times New Roman"/>
      <w:sz w:val="24"/>
      <w:lang w:eastAsia="tr-TR"/>
    </w:rPr>
  </w:style>
  <w:style w:type="paragraph" w:styleId="Balk3">
    <w:name w:val="heading 3"/>
    <w:basedOn w:val="Normal"/>
    <w:next w:val="Normal"/>
    <w:link w:val="Balk3Char"/>
    <w:uiPriority w:val="9"/>
    <w:semiHidden/>
    <w:unhideWhenUsed/>
    <w:qFormat/>
    <w:rsid w:val="002048D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52E24"/>
    <w:pPr>
      <w:keepNext/>
      <w:keepLines/>
      <w:spacing w:before="360" w:after="240" w:line="240" w:lineRule="auto"/>
      <w:outlineLvl w:val="3"/>
    </w:pPr>
    <w:rPr>
      <w:b/>
      <w:bCs/>
      <w:iCs/>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2E24"/>
    <w:rPr>
      <w:rFonts w:ascii="Times New Roman" w:eastAsia="Times New Roman" w:hAnsi="Times New Roman" w:cs="Times New Roman"/>
      <w:b/>
      <w:bCs/>
      <w:iCs/>
      <w:sz w:val="24"/>
      <w:szCs w:val="20"/>
      <w:lang w:val="x-none" w:eastAsia="tr-TR"/>
    </w:rPr>
  </w:style>
  <w:style w:type="paragraph" w:styleId="stbilgi">
    <w:name w:val="header"/>
    <w:basedOn w:val="Normal"/>
    <w:link w:val="stbilgiChar"/>
    <w:uiPriority w:val="99"/>
    <w:unhideWhenUsed/>
    <w:rsid w:val="00B52E2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B52E24"/>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B52E2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B52E24"/>
    <w:rPr>
      <w:rFonts w:ascii="Times New Roman" w:eastAsia="Times New Roman" w:hAnsi="Times New Roman" w:cs="Times New Roman"/>
      <w:sz w:val="24"/>
      <w:lang w:eastAsia="tr-TR"/>
    </w:rPr>
  </w:style>
  <w:style w:type="character" w:customStyle="1" w:styleId="Balk3Char">
    <w:name w:val="Başlık 3 Char"/>
    <w:basedOn w:val="VarsaylanParagrafYazTipi"/>
    <w:link w:val="Balk3"/>
    <w:uiPriority w:val="9"/>
    <w:rsid w:val="002048D5"/>
    <w:rPr>
      <w:rFonts w:asciiTheme="majorHAnsi" w:eastAsiaTheme="majorEastAsia" w:hAnsiTheme="majorHAnsi" w:cstheme="majorBidi"/>
      <w:b/>
      <w:bCs/>
      <w:color w:val="4F81BD" w:themeColor="accent1"/>
      <w:sz w:val="24"/>
      <w:lang w:eastAsia="tr-TR"/>
    </w:rPr>
  </w:style>
  <w:style w:type="paragraph" w:styleId="NormalWeb">
    <w:name w:val="Normal (Web)"/>
    <w:basedOn w:val="Normal"/>
    <w:uiPriority w:val="99"/>
    <w:unhideWhenUsed/>
    <w:rsid w:val="002048D5"/>
    <w:pPr>
      <w:spacing w:before="100" w:beforeAutospacing="1" w:after="100" w:afterAutospacing="1" w:line="240" w:lineRule="auto"/>
    </w:pPr>
    <w:rPr>
      <w:szCs w:val="24"/>
    </w:rPr>
  </w:style>
  <w:style w:type="character" w:styleId="Kpr">
    <w:name w:val="Hyperlink"/>
    <w:basedOn w:val="VarsaylanParagrafYazTipi"/>
    <w:uiPriority w:val="99"/>
    <w:unhideWhenUsed/>
    <w:rsid w:val="00F05C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24"/>
    <w:pPr>
      <w:spacing w:before="120" w:after="120" w:line="360" w:lineRule="auto"/>
      <w:jc w:val="both"/>
    </w:pPr>
    <w:rPr>
      <w:rFonts w:ascii="Times New Roman" w:eastAsia="Times New Roman" w:hAnsi="Times New Roman" w:cs="Times New Roman"/>
      <w:sz w:val="24"/>
      <w:lang w:eastAsia="tr-TR"/>
    </w:rPr>
  </w:style>
  <w:style w:type="paragraph" w:styleId="Balk3">
    <w:name w:val="heading 3"/>
    <w:basedOn w:val="Normal"/>
    <w:next w:val="Normal"/>
    <w:link w:val="Balk3Char"/>
    <w:uiPriority w:val="9"/>
    <w:semiHidden/>
    <w:unhideWhenUsed/>
    <w:qFormat/>
    <w:rsid w:val="002048D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52E24"/>
    <w:pPr>
      <w:keepNext/>
      <w:keepLines/>
      <w:spacing w:before="360" w:after="240" w:line="240" w:lineRule="auto"/>
      <w:outlineLvl w:val="3"/>
    </w:pPr>
    <w:rPr>
      <w:b/>
      <w:bCs/>
      <w:iCs/>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52E24"/>
    <w:rPr>
      <w:rFonts w:ascii="Times New Roman" w:eastAsia="Times New Roman" w:hAnsi="Times New Roman" w:cs="Times New Roman"/>
      <w:b/>
      <w:bCs/>
      <w:iCs/>
      <w:sz w:val="24"/>
      <w:szCs w:val="20"/>
      <w:lang w:val="x-none" w:eastAsia="tr-TR"/>
    </w:rPr>
  </w:style>
  <w:style w:type="paragraph" w:styleId="stbilgi">
    <w:name w:val="header"/>
    <w:basedOn w:val="Normal"/>
    <w:link w:val="stbilgiChar"/>
    <w:uiPriority w:val="99"/>
    <w:unhideWhenUsed/>
    <w:rsid w:val="00B52E2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B52E24"/>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B52E2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B52E24"/>
    <w:rPr>
      <w:rFonts w:ascii="Times New Roman" w:eastAsia="Times New Roman" w:hAnsi="Times New Roman" w:cs="Times New Roman"/>
      <w:sz w:val="24"/>
      <w:lang w:eastAsia="tr-TR"/>
    </w:rPr>
  </w:style>
  <w:style w:type="character" w:customStyle="1" w:styleId="Balk3Char">
    <w:name w:val="Başlık 3 Char"/>
    <w:basedOn w:val="VarsaylanParagrafYazTipi"/>
    <w:link w:val="Balk3"/>
    <w:uiPriority w:val="9"/>
    <w:rsid w:val="002048D5"/>
    <w:rPr>
      <w:rFonts w:asciiTheme="majorHAnsi" w:eastAsiaTheme="majorEastAsia" w:hAnsiTheme="majorHAnsi" w:cstheme="majorBidi"/>
      <w:b/>
      <w:bCs/>
      <w:color w:val="4F81BD" w:themeColor="accent1"/>
      <w:sz w:val="24"/>
      <w:lang w:eastAsia="tr-TR"/>
    </w:rPr>
  </w:style>
  <w:style w:type="paragraph" w:styleId="NormalWeb">
    <w:name w:val="Normal (Web)"/>
    <w:basedOn w:val="Normal"/>
    <w:uiPriority w:val="99"/>
    <w:unhideWhenUsed/>
    <w:rsid w:val="002048D5"/>
    <w:pPr>
      <w:spacing w:before="100" w:beforeAutospacing="1" w:after="100" w:afterAutospacing="1" w:line="240" w:lineRule="auto"/>
    </w:pPr>
    <w:rPr>
      <w:szCs w:val="24"/>
    </w:rPr>
  </w:style>
  <w:style w:type="character" w:styleId="Kpr">
    <w:name w:val="Hyperlink"/>
    <w:basedOn w:val="VarsaylanParagrafYazTipi"/>
    <w:uiPriority w:val="99"/>
    <w:unhideWhenUsed/>
    <w:rsid w:val="00F05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imdemircipd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dd</cp:lastModifiedBy>
  <cp:revision>3</cp:revision>
  <dcterms:created xsi:type="dcterms:W3CDTF">2017-05-16T11:10:00Z</dcterms:created>
  <dcterms:modified xsi:type="dcterms:W3CDTF">2019-01-24T19:31:00Z</dcterms:modified>
</cp:coreProperties>
</file>