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142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850"/>
        <w:gridCol w:w="709"/>
        <w:gridCol w:w="1418"/>
        <w:gridCol w:w="1134"/>
      </w:tblGrid>
      <w:tr w:rsidR="004D7102" w:rsidRPr="00B8753A" w:rsidTr="004D7102">
        <w:trPr>
          <w:cantSplit/>
          <w:trHeight w:hRule="exact" w:val="584"/>
        </w:trPr>
        <w:tc>
          <w:tcPr>
            <w:tcW w:w="6629" w:type="dxa"/>
            <w:tcBorders>
              <w:bottom w:val="single" w:sz="4" w:space="0" w:color="auto"/>
            </w:tcBorders>
            <w:shd w:val="clear" w:color="auto" w:fill="FFFFFF"/>
          </w:tcPr>
          <w:p w:rsidR="004D7102" w:rsidRPr="00114063" w:rsidRDefault="004D7102" w:rsidP="004D7102">
            <w:pPr>
              <w:tabs>
                <w:tab w:val="left" w:pos="2187"/>
              </w:tabs>
              <w:spacing w:after="0" w:line="240" w:lineRule="auto"/>
              <w:jc w:val="both"/>
              <w:rPr>
                <w:rFonts w:ascii="Times New Roman" w:hAnsi="Times New Roman"/>
                <w:sz w:val="20"/>
                <w:szCs w:val="20"/>
              </w:rPr>
            </w:pPr>
            <w:r w:rsidRPr="00C52BF4">
              <w:rPr>
                <w:rFonts w:ascii="Times New Roman" w:hAnsi="Times New Roman"/>
                <w:sz w:val="20"/>
                <w:szCs w:val="20"/>
                <w:u w:val="single"/>
              </w:rPr>
              <w:t>Son 2 hafta içerisinde</w:t>
            </w:r>
            <w:r w:rsidRPr="00114063">
              <w:rPr>
                <w:rFonts w:ascii="Times New Roman" w:hAnsi="Times New Roman"/>
                <w:sz w:val="20"/>
                <w:szCs w:val="20"/>
              </w:rPr>
              <w:t>, aşağıdaki sorunlardan ne sıklıkla rahatsız oldunuz?</w:t>
            </w:r>
          </w:p>
          <w:p w:rsidR="004D7102" w:rsidRPr="008B12A6" w:rsidRDefault="004D7102" w:rsidP="004D7102">
            <w:pPr>
              <w:tabs>
                <w:tab w:val="left" w:pos="2187"/>
              </w:tabs>
              <w:spacing w:after="0" w:line="240" w:lineRule="auto"/>
              <w:jc w:val="both"/>
              <w:rPr>
                <w:rFonts w:ascii="Arial" w:hAnsi="Arial" w:cs="Arial"/>
                <w:color w:val="6D6D6D"/>
                <w:sz w:val="21"/>
                <w:szCs w:val="21"/>
              </w:rPr>
            </w:pPr>
            <w:r w:rsidRPr="00B8753A">
              <w:rPr>
                <w:rFonts w:ascii="Times New Roman" w:hAnsi="Times New Roman"/>
                <w:b/>
                <w:sz w:val="20"/>
                <w:szCs w:val="20"/>
                <w:lang w:eastAsia="en-US"/>
              </w:rPr>
              <w:t>(0)</w:t>
            </w:r>
            <w:r w:rsidRPr="00B8753A">
              <w:rPr>
                <w:rFonts w:ascii="Times New Roman" w:hAnsi="Times New Roman"/>
                <w:sz w:val="20"/>
                <w:szCs w:val="20"/>
                <w:lang w:eastAsia="en-US"/>
              </w:rPr>
              <w:t xml:space="preserve"> Hi</w:t>
            </w:r>
            <w:r>
              <w:rPr>
                <w:rFonts w:ascii="Times New Roman" w:hAnsi="Times New Roman"/>
                <w:sz w:val="20"/>
                <w:szCs w:val="20"/>
                <w:lang w:eastAsia="en-US"/>
              </w:rPr>
              <w:t xml:space="preserve">ç </w:t>
            </w:r>
            <w:r w:rsidRPr="00B8753A">
              <w:rPr>
                <w:rFonts w:ascii="Times New Roman" w:hAnsi="Times New Roman"/>
                <w:b/>
                <w:sz w:val="20"/>
                <w:szCs w:val="20"/>
                <w:lang w:eastAsia="en-US"/>
              </w:rPr>
              <w:t>(1)</w:t>
            </w:r>
            <w:r w:rsidRPr="00B8753A">
              <w:rPr>
                <w:rFonts w:ascii="Times New Roman" w:hAnsi="Times New Roman"/>
                <w:sz w:val="20"/>
                <w:szCs w:val="20"/>
                <w:lang w:eastAsia="en-US"/>
              </w:rPr>
              <w:t xml:space="preserve"> Birkaç gün </w:t>
            </w:r>
            <w:r w:rsidRPr="00B8753A">
              <w:rPr>
                <w:rFonts w:ascii="Times New Roman" w:hAnsi="Times New Roman"/>
                <w:b/>
                <w:sz w:val="20"/>
                <w:szCs w:val="20"/>
                <w:lang w:eastAsia="en-US"/>
              </w:rPr>
              <w:t>(2)</w:t>
            </w:r>
            <w:r w:rsidRPr="00B8753A">
              <w:rPr>
                <w:rFonts w:ascii="Times New Roman" w:hAnsi="Times New Roman"/>
                <w:sz w:val="20"/>
                <w:szCs w:val="20"/>
                <w:lang w:eastAsia="en-US"/>
              </w:rPr>
              <w:t xml:space="preserve"> </w:t>
            </w:r>
            <w:r w:rsidRPr="00F64C18">
              <w:rPr>
                <w:rFonts w:ascii="Times New Roman" w:hAnsi="Times New Roman"/>
                <w:sz w:val="20"/>
                <w:szCs w:val="20"/>
              </w:rPr>
              <w:t xml:space="preserve"> Günlerin yarısından fazla </w:t>
            </w:r>
            <w:r w:rsidRPr="00B8753A">
              <w:rPr>
                <w:rFonts w:ascii="Times New Roman" w:hAnsi="Times New Roman"/>
                <w:b/>
                <w:sz w:val="20"/>
                <w:szCs w:val="20"/>
                <w:lang w:eastAsia="en-US"/>
              </w:rPr>
              <w:t>(3)</w:t>
            </w:r>
            <w:r>
              <w:rPr>
                <w:rFonts w:ascii="Times New Roman" w:hAnsi="Times New Roman"/>
                <w:sz w:val="20"/>
                <w:szCs w:val="20"/>
                <w:lang w:eastAsia="en-US"/>
              </w:rPr>
              <w:t xml:space="preserve"> </w:t>
            </w:r>
            <w:r w:rsidRPr="00F64C18">
              <w:rPr>
                <w:rFonts w:ascii="Times New Roman" w:hAnsi="Times New Roman"/>
                <w:sz w:val="20"/>
                <w:szCs w:val="20"/>
              </w:rPr>
              <w:t>Hemen hemen her gün</w:t>
            </w:r>
          </w:p>
        </w:tc>
        <w:tc>
          <w:tcPr>
            <w:tcW w:w="850" w:type="dxa"/>
            <w:tcBorders>
              <w:bottom w:val="single" w:sz="4" w:space="0" w:color="auto"/>
            </w:tcBorders>
            <w:shd w:val="clear" w:color="auto" w:fill="FFFFFF"/>
            <w:vAlign w:val="center"/>
          </w:tcPr>
          <w:p w:rsidR="004D7102" w:rsidRPr="00F0568F" w:rsidRDefault="004D7102" w:rsidP="004D7102">
            <w:pPr>
              <w:spacing w:after="0" w:line="240" w:lineRule="auto"/>
              <w:jc w:val="center"/>
              <w:rPr>
                <w:rFonts w:ascii="Times New Roman" w:hAnsi="Times New Roman"/>
                <w:sz w:val="18"/>
                <w:szCs w:val="20"/>
                <w:lang w:eastAsia="en-US"/>
              </w:rPr>
            </w:pPr>
            <w:r w:rsidRPr="00F0568F">
              <w:rPr>
                <w:rFonts w:ascii="Times New Roman" w:hAnsi="Times New Roman"/>
                <w:sz w:val="18"/>
                <w:szCs w:val="20"/>
                <w:lang w:eastAsia="en-US"/>
              </w:rPr>
              <w:t>Hiç</w:t>
            </w:r>
          </w:p>
        </w:tc>
        <w:tc>
          <w:tcPr>
            <w:tcW w:w="709" w:type="dxa"/>
            <w:tcBorders>
              <w:bottom w:val="single" w:sz="4" w:space="0" w:color="auto"/>
            </w:tcBorders>
            <w:shd w:val="clear" w:color="auto" w:fill="FFFFFF"/>
            <w:vAlign w:val="center"/>
          </w:tcPr>
          <w:p w:rsidR="004D7102" w:rsidRPr="00F0568F" w:rsidRDefault="004D7102" w:rsidP="004D7102">
            <w:pPr>
              <w:spacing w:after="0" w:line="240" w:lineRule="auto"/>
              <w:jc w:val="center"/>
              <w:rPr>
                <w:rFonts w:ascii="Times New Roman" w:hAnsi="Times New Roman"/>
                <w:sz w:val="18"/>
                <w:szCs w:val="20"/>
                <w:lang w:eastAsia="en-US"/>
              </w:rPr>
            </w:pPr>
            <w:r w:rsidRPr="00F0568F">
              <w:rPr>
                <w:rFonts w:ascii="Times New Roman" w:hAnsi="Times New Roman"/>
                <w:sz w:val="18"/>
                <w:szCs w:val="20"/>
                <w:lang w:eastAsia="en-US"/>
              </w:rPr>
              <w:t>Birkaç gün</w:t>
            </w:r>
          </w:p>
        </w:tc>
        <w:tc>
          <w:tcPr>
            <w:tcW w:w="1418" w:type="dxa"/>
            <w:tcBorders>
              <w:bottom w:val="single" w:sz="4" w:space="0" w:color="auto"/>
            </w:tcBorders>
            <w:shd w:val="clear" w:color="auto" w:fill="FFFFFF"/>
            <w:vAlign w:val="center"/>
          </w:tcPr>
          <w:p w:rsidR="004D7102" w:rsidRPr="00F0568F" w:rsidRDefault="004D7102" w:rsidP="004D7102">
            <w:pPr>
              <w:spacing w:after="0" w:line="240" w:lineRule="auto"/>
              <w:jc w:val="center"/>
              <w:rPr>
                <w:rFonts w:ascii="Times New Roman" w:hAnsi="Times New Roman"/>
                <w:sz w:val="18"/>
                <w:szCs w:val="20"/>
                <w:lang w:eastAsia="en-US"/>
              </w:rPr>
            </w:pPr>
            <w:r w:rsidRPr="00F0568F">
              <w:rPr>
                <w:rFonts w:ascii="Times New Roman" w:hAnsi="Times New Roman"/>
                <w:sz w:val="18"/>
                <w:szCs w:val="20"/>
              </w:rPr>
              <w:t>Günlerin yarısından fazla</w:t>
            </w:r>
          </w:p>
        </w:tc>
        <w:tc>
          <w:tcPr>
            <w:tcW w:w="1134" w:type="dxa"/>
            <w:tcBorders>
              <w:bottom w:val="single" w:sz="4" w:space="0" w:color="auto"/>
            </w:tcBorders>
            <w:shd w:val="clear" w:color="auto" w:fill="FFFFFF"/>
            <w:vAlign w:val="center"/>
          </w:tcPr>
          <w:p w:rsidR="004D7102" w:rsidRPr="00F0568F" w:rsidRDefault="004D7102" w:rsidP="004D7102">
            <w:pPr>
              <w:spacing w:after="0" w:line="240" w:lineRule="auto"/>
              <w:ind w:left="-108" w:right="-108"/>
              <w:jc w:val="center"/>
              <w:rPr>
                <w:rFonts w:ascii="Times New Roman" w:hAnsi="Times New Roman"/>
                <w:sz w:val="18"/>
                <w:szCs w:val="20"/>
              </w:rPr>
            </w:pPr>
            <w:r w:rsidRPr="00F0568F">
              <w:rPr>
                <w:rFonts w:ascii="Times New Roman" w:hAnsi="Times New Roman"/>
                <w:sz w:val="18"/>
                <w:szCs w:val="20"/>
              </w:rPr>
              <w:t>Hemen hemen her gün</w:t>
            </w:r>
          </w:p>
        </w:tc>
      </w:tr>
      <w:tr w:rsidR="004D7102" w:rsidRPr="00B8753A" w:rsidTr="004D7102">
        <w:trPr>
          <w:trHeight w:hRule="exact" w:val="227"/>
        </w:trPr>
        <w:tc>
          <w:tcPr>
            <w:tcW w:w="6629" w:type="dxa"/>
            <w:tcBorders>
              <w:top w:val="single" w:sz="4" w:space="0" w:color="auto"/>
            </w:tcBorders>
          </w:tcPr>
          <w:p w:rsidR="004D7102" w:rsidRPr="00114063" w:rsidRDefault="004D7102" w:rsidP="004D7102">
            <w:pPr>
              <w:tabs>
                <w:tab w:val="left" w:pos="2187"/>
              </w:tabs>
              <w:spacing w:after="0"/>
              <w:jc w:val="both"/>
              <w:rPr>
                <w:rFonts w:ascii="Times New Roman" w:hAnsi="Times New Roman"/>
                <w:sz w:val="20"/>
                <w:szCs w:val="20"/>
              </w:rPr>
            </w:pPr>
            <w:r>
              <w:rPr>
                <w:rFonts w:ascii="Times New Roman" w:hAnsi="Times New Roman"/>
                <w:sz w:val="20"/>
                <w:szCs w:val="20"/>
              </w:rPr>
              <w:t>1. S</w:t>
            </w:r>
            <w:r w:rsidRPr="00114063">
              <w:rPr>
                <w:rFonts w:ascii="Times New Roman" w:hAnsi="Times New Roman"/>
                <w:sz w:val="20"/>
                <w:szCs w:val="20"/>
              </w:rPr>
              <w:t>inirli, kaygılı veya çok gergin hissetme</w:t>
            </w:r>
          </w:p>
        </w:tc>
        <w:tc>
          <w:tcPr>
            <w:tcW w:w="850" w:type="dxa"/>
            <w:tcBorders>
              <w:top w:val="single" w:sz="4" w:space="0" w:color="auto"/>
            </w:tcBorders>
            <w:vAlign w:val="center"/>
          </w:tcPr>
          <w:p w:rsidR="004D7102" w:rsidRPr="00B8753A" w:rsidRDefault="004D7102" w:rsidP="004D7102">
            <w:pPr>
              <w:jc w:val="center"/>
              <w:rPr>
                <w:rFonts w:ascii="Times New Roman" w:hAnsi="Times New Roman"/>
                <w:sz w:val="20"/>
                <w:szCs w:val="20"/>
                <w:lang w:eastAsia="en-US"/>
              </w:rPr>
            </w:pPr>
            <w:r w:rsidRPr="00B8753A">
              <w:rPr>
                <w:rFonts w:ascii="Times New Roman" w:hAnsi="Times New Roman"/>
                <w:sz w:val="20"/>
                <w:szCs w:val="20"/>
                <w:lang w:eastAsia="en-US"/>
              </w:rPr>
              <w:t>0</w:t>
            </w:r>
          </w:p>
        </w:tc>
        <w:tc>
          <w:tcPr>
            <w:tcW w:w="709" w:type="dxa"/>
            <w:tcBorders>
              <w:top w:val="single" w:sz="4" w:space="0" w:color="auto"/>
            </w:tcBorders>
            <w:vAlign w:val="center"/>
          </w:tcPr>
          <w:p w:rsidR="004D7102" w:rsidRPr="00B8753A" w:rsidRDefault="004D7102" w:rsidP="004D7102">
            <w:pPr>
              <w:jc w:val="center"/>
              <w:rPr>
                <w:rFonts w:ascii="Times New Roman" w:hAnsi="Times New Roman"/>
                <w:sz w:val="20"/>
                <w:szCs w:val="20"/>
                <w:lang w:eastAsia="en-US"/>
              </w:rPr>
            </w:pPr>
            <w:r w:rsidRPr="00B8753A">
              <w:rPr>
                <w:rFonts w:ascii="Times New Roman" w:hAnsi="Times New Roman"/>
                <w:sz w:val="20"/>
                <w:szCs w:val="20"/>
                <w:lang w:eastAsia="en-US"/>
              </w:rPr>
              <w:t>1</w:t>
            </w:r>
          </w:p>
        </w:tc>
        <w:tc>
          <w:tcPr>
            <w:tcW w:w="1418" w:type="dxa"/>
            <w:tcBorders>
              <w:top w:val="single" w:sz="4" w:space="0" w:color="auto"/>
            </w:tcBorders>
            <w:vAlign w:val="center"/>
          </w:tcPr>
          <w:p w:rsidR="004D7102" w:rsidRPr="00B8753A" w:rsidRDefault="004D7102" w:rsidP="004D7102">
            <w:pPr>
              <w:jc w:val="center"/>
              <w:rPr>
                <w:rFonts w:ascii="Times New Roman" w:hAnsi="Times New Roman"/>
                <w:sz w:val="20"/>
                <w:szCs w:val="20"/>
                <w:lang w:eastAsia="en-US"/>
              </w:rPr>
            </w:pPr>
            <w:r w:rsidRPr="00B8753A">
              <w:rPr>
                <w:rFonts w:ascii="Times New Roman" w:hAnsi="Times New Roman"/>
                <w:sz w:val="20"/>
                <w:szCs w:val="20"/>
                <w:lang w:eastAsia="en-US"/>
              </w:rPr>
              <w:t>2</w:t>
            </w:r>
          </w:p>
        </w:tc>
        <w:tc>
          <w:tcPr>
            <w:tcW w:w="1134" w:type="dxa"/>
            <w:tcBorders>
              <w:top w:val="single" w:sz="4" w:space="0" w:color="auto"/>
            </w:tcBorders>
            <w:vAlign w:val="center"/>
          </w:tcPr>
          <w:p w:rsidR="004D7102" w:rsidRPr="00B8753A" w:rsidRDefault="004D7102" w:rsidP="004D7102">
            <w:pPr>
              <w:jc w:val="center"/>
              <w:rPr>
                <w:rFonts w:ascii="Times New Roman" w:hAnsi="Times New Roman"/>
                <w:sz w:val="20"/>
                <w:szCs w:val="20"/>
                <w:lang w:eastAsia="en-US"/>
              </w:rPr>
            </w:pPr>
            <w:r w:rsidRPr="00B8753A">
              <w:rPr>
                <w:rFonts w:ascii="Times New Roman" w:hAnsi="Times New Roman"/>
                <w:sz w:val="20"/>
                <w:szCs w:val="20"/>
                <w:lang w:eastAsia="en-US"/>
              </w:rPr>
              <w:t>3</w:t>
            </w:r>
          </w:p>
        </w:tc>
      </w:tr>
      <w:tr w:rsidR="004D7102" w:rsidRPr="00B8753A" w:rsidTr="004D7102">
        <w:trPr>
          <w:trHeight w:hRule="exact" w:val="227"/>
        </w:trPr>
        <w:tc>
          <w:tcPr>
            <w:tcW w:w="6629" w:type="dxa"/>
            <w:shd w:val="clear" w:color="auto" w:fill="D9D9D9"/>
          </w:tcPr>
          <w:p w:rsidR="004D7102" w:rsidRPr="00114063" w:rsidRDefault="004D7102" w:rsidP="004D7102">
            <w:pPr>
              <w:tabs>
                <w:tab w:val="left" w:pos="2187"/>
              </w:tabs>
              <w:spacing w:after="0"/>
              <w:jc w:val="both"/>
              <w:rPr>
                <w:rFonts w:ascii="Times New Roman" w:hAnsi="Times New Roman"/>
                <w:sz w:val="20"/>
                <w:szCs w:val="20"/>
              </w:rPr>
            </w:pPr>
            <w:r>
              <w:rPr>
                <w:rFonts w:ascii="Times New Roman" w:hAnsi="Times New Roman"/>
                <w:sz w:val="20"/>
                <w:szCs w:val="20"/>
              </w:rPr>
              <w:t xml:space="preserve">2. </w:t>
            </w:r>
            <w:r w:rsidRPr="00114063">
              <w:rPr>
                <w:rFonts w:ascii="Times New Roman" w:hAnsi="Times New Roman"/>
                <w:sz w:val="20"/>
                <w:szCs w:val="20"/>
              </w:rPr>
              <w:t>Kaygılarını durduramama veya kontrol edememe</w:t>
            </w:r>
          </w:p>
        </w:tc>
        <w:tc>
          <w:tcPr>
            <w:tcW w:w="850" w:type="dxa"/>
            <w:shd w:val="clear" w:color="auto" w:fill="D9D9D9"/>
            <w:vAlign w:val="center"/>
          </w:tcPr>
          <w:p w:rsidR="004D7102" w:rsidRPr="00B8753A" w:rsidRDefault="004D7102" w:rsidP="004D7102">
            <w:pPr>
              <w:jc w:val="center"/>
              <w:rPr>
                <w:rFonts w:ascii="Times New Roman" w:hAnsi="Times New Roman"/>
                <w:sz w:val="20"/>
                <w:szCs w:val="20"/>
              </w:rPr>
            </w:pPr>
            <w:r w:rsidRPr="00B8753A">
              <w:rPr>
                <w:rFonts w:ascii="Times New Roman" w:hAnsi="Times New Roman"/>
                <w:sz w:val="20"/>
                <w:szCs w:val="20"/>
              </w:rPr>
              <w:t>0</w:t>
            </w:r>
          </w:p>
        </w:tc>
        <w:tc>
          <w:tcPr>
            <w:tcW w:w="709" w:type="dxa"/>
            <w:shd w:val="clear" w:color="auto" w:fill="D9D9D9"/>
            <w:vAlign w:val="center"/>
          </w:tcPr>
          <w:p w:rsidR="004D7102" w:rsidRPr="00B8753A" w:rsidRDefault="004D7102" w:rsidP="004D7102">
            <w:pPr>
              <w:jc w:val="center"/>
              <w:rPr>
                <w:rFonts w:ascii="Times New Roman" w:hAnsi="Times New Roman"/>
                <w:sz w:val="20"/>
                <w:szCs w:val="20"/>
              </w:rPr>
            </w:pPr>
            <w:r w:rsidRPr="00B8753A">
              <w:rPr>
                <w:rFonts w:ascii="Times New Roman" w:hAnsi="Times New Roman"/>
                <w:sz w:val="20"/>
                <w:szCs w:val="20"/>
              </w:rPr>
              <w:t>1</w:t>
            </w:r>
          </w:p>
        </w:tc>
        <w:tc>
          <w:tcPr>
            <w:tcW w:w="1418" w:type="dxa"/>
            <w:shd w:val="clear" w:color="auto" w:fill="D9D9D9"/>
            <w:vAlign w:val="center"/>
          </w:tcPr>
          <w:p w:rsidR="004D7102" w:rsidRPr="00B8753A" w:rsidRDefault="004D7102" w:rsidP="004D7102">
            <w:pPr>
              <w:jc w:val="center"/>
              <w:rPr>
                <w:rFonts w:ascii="Times New Roman" w:hAnsi="Times New Roman"/>
                <w:sz w:val="20"/>
                <w:szCs w:val="20"/>
              </w:rPr>
            </w:pPr>
            <w:r w:rsidRPr="00B8753A">
              <w:rPr>
                <w:rFonts w:ascii="Times New Roman" w:hAnsi="Times New Roman"/>
                <w:sz w:val="20"/>
                <w:szCs w:val="20"/>
              </w:rPr>
              <w:t>2</w:t>
            </w:r>
          </w:p>
        </w:tc>
        <w:tc>
          <w:tcPr>
            <w:tcW w:w="1134" w:type="dxa"/>
            <w:shd w:val="clear" w:color="auto" w:fill="D9D9D9"/>
            <w:vAlign w:val="center"/>
          </w:tcPr>
          <w:p w:rsidR="004D7102" w:rsidRPr="00B8753A" w:rsidRDefault="004D7102" w:rsidP="004D7102">
            <w:pPr>
              <w:jc w:val="center"/>
              <w:rPr>
                <w:rFonts w:ascii="Times New Roman" w:hAnsi="Times New Roman"/>
                <w:sz w:val="20"/>
                <w:szCs w:val="20"/>
              </w:rPr>
            </w:pPr>
            <w:r w:rsidRPr="00B8753A">
              <w:rPr>
                <w:rFonts w:ascii="Times New Roman" w:hAnsi="Times New Roman"/>
                <w:sz w:val="20"/>
                <w:szCs w:val="20"/>
              </w:rPr>
              <w:t>3</w:t>
            </w:r>
          </w:p>
        </w:tc>
      </w:tr>
      <w:tr w:rsidR="004D7102" w:rsidRPr="00B8753A" w:rsidTr="004D7102">
        <w:trPr>
          <w:trHeight w:hRule="exact" w:val="227"/>
        </w:trPr>
        <w:tc>
          <w:tcPr>
            <w:tcW w:w="6629" w:type="dxa"/>
          </w:tcPr>
          <w:p w:rsidR="004D7102" w:rsidRPr="00114063" w:rsidRDefault="004D7102" w:rsidP="004D7102">
            <w:pPr>
              <w:tabs>
                <w:tab w:val="left" w:pos="2187"/>
              </w:tabs>
              <w:spacing w:after="0"/>
              <w:jc w:val="both"/>
              <w:rPr>
                <w:rFonts w:ascii="Times New Roman" w:hAnsi="Times New Roman"/>
                <w:sz w:val="20"/>
                <w:szCs w:val="20"/>
              </w:rPr>
            </w:pPr>
            <w:r>
              <w:rPr>
                <w:rFonts w:ascii="Times New Roman" w:hAnsi="Times New Roman"/>
                <w:sz w:val="20"/>
                <w:szCs w:val="20"/>
              </w:rPr>
              <w:t xml:space="preserve">3. </w:t>
            </w:r>
            <w:r w:rsidRPr="00114063">
              <w:rPr>
                <w:rFonts w:ascii="Times New Roman" w:hAnsi="Times New Roman"/>
                <w:sz w:val="20"/>
                <w:szCs w:val="20"/>
              </w:rPr>
              <w:t xml:space="preserve">Bir şeyleri </w:t>
            </w:r>
            <w:r>
              <w:rPr>
                <w:rFonts w:ascii="Times New Roman" w:hAnsi="Times New Roman"/>
                <w:sz w:val="20"/>
                <w:szCs w:val="20"/>
              </w:rPr>
              <w:t>yapmaya az ilgi veya zevk duyma</w:t>
            </w:r>
          </w:p>
        </w:tc>
        <w:tc>
          <w:tcPr>
            <w:tcW w:w="850" w:type="dxa"/>
            <w:vAlign w:val="center"/>
          </w:tcPr>
          <w:p w:rsidR="004D7102" w:rsidRPr="00B8753A" w:rsidRDefault="004D7102" w:rsidP="004D7102">
            <w:pPr>
              <w:jc w:val="center"/>
              <w:rPr>
                <w:rFonts w:ascii="Times New Roman" w:hAnsi="Times New Roman"/>
                <w:sz w:val="20"/>
                <w:szCs w:val="20"/>
                <w:lang w:eastAsia="en-US"/>
              </w:rPr>
            </w:pPr>
            <w:r w:rsidRPr="00B8753A">
              <w:rPr>
                <w:rFonts w:ascii="Times New Roman" w:hAnsi="Times New Roman"/>
                <w:sz w:val="20"/>
                <w:szCs w:val="20"/>
                <w:lang w:eastAsia="en-US"/>
              </w:rPr>
              <w:t>0</w:t>
            </w:r>
          </w:p>
        </w:tc>
        <w:tc>
          <w:tcPr>
            <w:tcW w:w="709" w:type="dxa"/>
            <w:vAlign w:val="center"/>
          </w:tcPr>
          <w:p w:rsidR="004D7102" w:rsidRPr="00B8753A" w:rsidRDefault="004D7102" w:rsidP="004D7102">
            <w:pPr>
              <w:jc w:val="center"/>
              <w:rPr>
                <w:rFonts w:ascii="Times New Roman" w:hAnsi="Times New Roman"/>
                <w:sz w:val="20"/>
                <w:szCs w:val="20"/>
                <w:lang w:eastAsia="en-US"/>
              </w:rPr>
            </w:pPr>
            <w:r w:rsidRPr="00B8753A">
              <w:rPr>
                <w:rFonts w:ascii="Times New Roman" w:hAnsi="Times New Roman"/>
                <w:sz w:val="20"/>
                <w:szCs w:val="20"/>
                <w:lang w:eastAsia="en-US"/>
              </w:rPr>
              <w:t>1</w:t>
            </w:r>
          </w:p>
        </w:tc>
        <w:tc>
          <w:tcPr>
            <w:tcW w:w="1418" w:type="dxa"/>
            <w:vAlign w:val="center"/>
          </w:tcPr>
          <w:p w:rsidR="004D7102" w:rsidRPr="00B8753A" w:rsidRDefault="004D7102" w:rsidP="004D7102">
            <w:pPr>
              <w:jc w:val="center"/>
              <w:rPr>
                <w:rFonts w:ascii="Times New Roman" w:hAnsi="Times New Roman"/>
                <w:sz w:val="20"/>
                <w:szCs w:val="20"/>
                <w:lang w:eastAsia="en-US"/>
              </w:rPr>
            </w:pPr>
            <w:r w:rsidRPr="00B8753A">
              <w:rPr>
                <w:rFonts w:ascii="Times New Roman" w:hAnsi="Times New Roman"/>
                <w:sz w:val="20"/>
                <w:szCs w:val="20"/>
                <w:lang w:eastAsia="en-US"/>
              </w:rPr>
              <w:t>2</w:t>
            </w:r>
          </w:p>
        </w:tc>
        <w:tc>
          <w:tcPr>
            <w:tcW w:w="1134" w:type="dxa"/>
            <w:vAlign w:val="center"/>
          </w:tcPr>
          <w:p w:rsidR="004D7102" w:rsidRPr="00B8753A" w:rsidRDefault="004D7102" w:rsidP="004D7102">
            <w:pPr>
              <w:jc w:val="center"/>
              <w:rPr>
                <w:rFonts w:ascii="Times New Roman" w:hAnsi="Times New Roman"/>
                <w:sz w:val="20"/>
                <w:szCs w:val="20"/>
                <w:lang w:eastAsia="en-US"/>
              </w:rPr>
            </w:pPr>
            <w:r w:rsidRPr="00B8753A">
              <w:rPr>
                <w:rFonts w:ascii="Times New Roman" w:hAnsi="Times New Roman"/>
                <w:sz w:val="20"/>
                <w:szCs w:val="20"/>
                <w:lang w:eastAsia="en-US"/>
              </w:rPr>
              <w:t>3</w:t>
            </w:r>
          </w:p>
        </w:tc>
      </w:tr>
      <w:tr w:rsidR="004D7102" w:rsidRPr="00B8753A" w:rsidTr="004D7102">
        <w:trPr>
          <w:trHeight w:hRule="exact" w:val="227"/>
        </w:trPr>
        <w:tc>
          <w:tcPr>
            <w:tcW w:w="6629" w:type="dxa"/>
            <w:shd w:val="clear" w:color="auto" w:fill="D9D9D9"/>
          </w:tcPr>
          <w:p w:rsidR="004D7102" w:rsidRPr="00114063" w:rsidRDefault="004D7102" w:rsidP="004D7102">
            <w:pPr>
              <w:tabs>
                <w:tab w:val="left" w:pos="2187"/>
              </w:tabs>
              <w:spacing w:after="0"/>
              <w:jc w:val="both"/>
              <w:rPr>
                <w:rFonts w:ascii="Times New Roman" w:hAnsi="Times New Roman"/>
                <w:sz w:val="20"/>
                <w:szCs w:val="20"/>
              </w:rPr>
            </w:pPr>
            <w:r>
              <w:rPr>
                <w:rFonts w:ascii="Times New Roman" w:hAnsi="Times New Roman"/>
                <w:sz w:val="20"/>
                <w:szCs w:val="20"/>
              </w:rPr>
              <w:t xml:space="preserve">4. </w:t>
            </w:r>
            <w:r w:rsidRPr="00114063">
              <w:rPr>
                <w:rFonts w:ascii="Times New Roman" w:hAnsi="Times New Roman"/>
                <w:sz w:val="20"/>
                <w:szCs w:val="20"/>
              </w:rPr>
              <w:t>Üzgün,</w:t>
            </w:r>
            <w:r>
              <w:rPr>
                <w:rFonts w:ascii="Times New Roman" w:hAnsi="Times New Roman"/>
                <w:sz w:val="20"/>
                <w:szCs w:val="20"/>
              </w:rPr>
              <w:t xml:space="preserve"> depresif veya umutsuz hissetme</w:t>
            </w:r>
          </w:p>
        </w:tc>
        <w:tc>
          <w:tcPr>
            <w:tcW w:w="850" w:type="dxa"/>
            <w:shd w:val="clear" w:color="auto" w:fill="D9D9D9"/>
            <w:vAlign w:val="center"/>
          </w:tcPr>
          <w:p w:rsidR="004D7102" w:rsidRPr="00B8753A" w:rsidRDefault="004D7102" w:rsidP="004D7102">
            <w:pPr>
              <w:jc w:val="center"/>
              <w:rPr>
                <w:rFonts w:ascii="Times New Roman" w:hAnsi="Times New Roman"/>
                <w:sz w:val="20"/>
                <w:szCs w:val="20"/>
                <w:lang w:eastAsia="en-US"/>
              </w:rPr>
            </w:pPr>
            <w:r w:rsidRPr="00B8753A">
              <w:rPr>
                <w:rFonts w:ascii="Times New Roman" w:hAnsi="Times New Roman"/>
                <w:sz w:val="20"/>
                <w:szCs w:val="20"/>
                <w:lang w:eastAsia="en-US"/>
              </w:rPr>
              <w:t>0</w:t>
            </w:r>
          </w:p>
        </w:tc>
        <w:tc>
          <w:tcPr>
            <w:tcW w:w="709" w:type="dxa"/>
            <w:shd w:val="clear" w:color="auto" w:fill="D9D9D9"/>
            <w:vAlign w:val="center"/>
          </w:tcPr>
          <w:p w:rsidR="004D7102" w:rsidRPr="00B8753A" w:rsidRDefault="004D7102" w:rsidP="004D7102">
            <w:pPr>
              <w:jc w:val="center"/>
              <w:rPr>
                <w:rFonts w:ascii="Times New Roman" w:hAnsi="Times New Roman"/>
                <w:sz w:val="20"/>
                <w:szCs w:val="20"/>
                <w:lang w:eastAsia="en-US"/>
              </w:rPr>
            </w:pPr>
            <w:r w:rsidRPr="00B8753A">
              <w:rPr>
                <w:rFonts w:ascii="Times New Roman" w:hAnsi="Times New Roman"/>
                <w:sz w:val="20"/>
                <w:szCs w:val="20"/>
                <w:lang w:eastAsia="en-US"/>
              </w:rPr>
              <w:t>1</w:t>
            </w:r>
          </w:p>
        </w:tc>
        <w:tc>
          <w:tcPr>
            <w:tcW w:w="1418" w:type="dxa"/>
            <w:shd w:val="clear" w:color="auto" w:fill="D9D9D9"/>
            <w:vAlign w:val="center"/>
          </w:tcPr>
          <w:p w:rsidR="004D7102" w:rsidRPr="00B8753A" w:rsidRDefault="004D7102" w:rsidP="004D7102">
            <w:pPr>
              <w:jc w:val="center"/>
              <w:rPr>
                <w:rFonts w:ascii="Times New Roman" w:hAnsi="Times New Roman"/>
                <w:sz w:val="20"/>
                <w:szCs w:val="20"/>
                <w:lang w:eastAsia="en-US"/>
              </w:rPr>
            </w:pPr>
            <w:r w:rsidRPr="00B8753A">
              <w:rPr>
                <w:rFonts w:ascii="Times New Roman" w:hAnsi="Times New Roman"/>
                <w:sz w:val="20"/>
                <w:szCs w:val="20"/>
                <w:lang w:eastAsia="en-US"/>
              </w:rPr>
              <w:t>2</w:t>
            </w:r>
          </w:p>
        </w:tc>
        <w:tc>
          <w:tcPr>
            <w:tcW w:w="1134" w:type="dxa"/>
            <w:shd w:val="clear" w:color="auto" w:fill="D9D9D9"/>
            <w:vAlign w:val="center"/>
          </w:tcPr>
          <w:p w:rsidR="004D7102" w:rsidRPr="00B8753A" w:rsidRDefault="004D7102" w:rsidP="004D7102">
            <w:pPr>
              <w:jc w:val="center"/>
              <w:rPr>
                <w:rFonts w:ascii="Times New Roman" w:hAnsi="Times New Roman"/>
                <w:sz w:val="20"/>
                <w:szCs w:val="20"/>
                <w:lang w:eastAsia="en-US"/>
              </w:rPr>
            </w:pPr>
            <w:r w:rsidRPr="00B8753A">
              <w:rPr>
                <w:rFonts w:ascii="Times New Roman" w:hAnsi="Times New Roman"/>
                <w:sz w:val="20"/>
                <w:szCs w:val="20"/>
                <w:lang w:eastAsia="en-US"/>
              </w:rPr>
              <w:t>3</w:t>
            </w:r>
          </w:p>
        </w:tc>
      </w:tr>
    </w:tbl>
    <w:p w:rsidR="00751AE1" w:rsidRPr="00EB6974" w:rsidRDefault="00EB6974" w:rsidP="005B111C">
      <w:pPr>
        <w:jc w:val="both"/>
      </w:pPr>
      <w:r>
        <w:tab/>
      </w:r>
      <w:r>
        <w:tab/>
      </w:r>
      <w:r>
        <w:tab/>
      </w:r>
      <w:r>
        <w:tab/>
      </w:r>
      <w:r>
        <w:tab/>
      </w:r>
      <w:r>
        <w:tab/>
      </w:r>
      <w:r>
        <w:tab/>
      </w:r>
    </w:p>
    <w:p w:rsidR="004D7102" w:rsidRDefault="004D7102" w:rsidP="004D7102">
      <w:pPr>
        <w:spacing w:after="0"/>
        <w:rPr>
          <w:rFonts w:ascii="Times New Roman" w:hAnsi="Times New Roman"/>
          <w:sz w:val="20"/>
          <w:szCs w:val="20"/>
        </w:rPr>
      </w:pPr>
      <w:r w:rsidRPr="009F4C14">
        <w:rPr>
          <w:rFonts w:ascii="Times New Roman" w:hAnsi="Times New Roman"/>
          <w:sz w:val="20"/>
          <w:szCs w:val="20"/>
        </w:rPr>
        <w:t xml:space="preserve">Orijinal Form: </w:t>
      </w:r>
    </w:p>
    <w:p w:rsidR="004D7102" w:rsidRPr="009F4C14" w:rsidRDefault="004D7102" w:rsidP="004D7102">
      <w:pPr>
        <w:spacing w:after="0"/>
        <w:jc w:val="both"/>
        <w:rPr>
          <w:rFonts w:ascii="Times New Roman" w:hAnsi="Times New Roman"/>
          <w:sz w:val="20"/>
          <w:szCs w:val="20"/>
        </w:rPr>
      </w:pPr>
    </w:p>
    <w:p w:rsidR="00EC5DCE" w:rsidRPr="006E4038" w:rsidRDefault="00EC5DCE" w:rsidP="00EC5DCE">
      <w:pPr>
        <w:spacing w:after="0" w:line="240" w:lineRule="auto"/>
        <w:ind w:left="567" w:hanging="567"/>
        <w:jc w:val="both"/>
        <w:rPr>
          <w:rFonts w:ascii="Palatino Linotype" w:hAnsi="Palatino Linotype" w:cs="Arial"/>
          <w:sz w:val="20"/>
          <w:szCs w:val="20"/>
          <w:shd w:val="clear" w:color="auto" w:fill="FFFFFF"/>
          <w:lang w:val="en-GB"/>
        </w:rPr>
      </w:pPr>
      <w:r w:rsidRPr="006E4038">
        <w:rPr>
          <w:rFonts w:ascii="Palatino Linotype" w:hAnsi="Palatino Linotype" w:cs="Arial"/>
          <w:sz w:val="20"/>
          <w:szCs w:val="20"/>
          <w:shd w:val="clear" w:color="auto" w:fill="FFFFFF"/>
          <w:lang w:val="en-GB"/>
        </w:rPr>
        <w:t xml:space="preserve">Kroenke, K., Spitzer, R. L., Williams, J. B., &amp; </w:t>
      </w:r>
      <w:proofErr w:type="spellStart"/>
      <w:r w:rsidRPr="006E4038">
        <w:rPr>
          <w:rFonts w:ascii="Palatino Linotype" w:hAnsi="Palatino Linotype" w:cs="Arial"/>
          <w:sz w:val="20"/>
          <w:szCs w:val="20"/>
          <w:shd w:val="clear" w:color="auto" w:fill="FFFFFF"/>
          <w:lang w:val="en-GB"/>
        </w:rPr>
        <w:t>Löwe</w:t>
      </w:r>
      <w:proofErr w:type="spellEnd"/>
      <w:r w:rsidRPr="006E4038">
        <w:rPr>
          <w:rFonts w:ascii="Palatino Linotype" w:hAnsi="Palatino Linotype" w:cs="Arial"/>
          <w:sz w:val="20"/>
          <w:szCs w:val="20"/>
          <w:shd w:val="clear" w:color="auto" w:fill="FFFFFF"/>
          <w:lang w:val="en-GB"/>
        </w:rPr>
        <w:t xml:space="preserve">, B. (2009). An ultra-brief screening </w:t>
      </w:r>
      <w:bookmarkStart w:id="0" w:name="_GoBack"/>
      <w:bookmarkEnd w:id="0"/>
      <w:r w:rsidRPr="006E4038">
        <w:rPr>
          <w:rFonts w:ascii="Palatino Linotype" w:hAnsi="Palatino Linotype" w:cs="Arial"/>
          <w:sz w:val="20"/>
          <w:szCs w:val="20"/>
          <w:shd w:val="clear" w:color="auto" w:fill="FFFFFF"/>
          <w:lang w:val="en-GB"/>
        </w:rPr>
        <w:t>scale for anxiety and depression: the PHQ–4. </w:t>
      </w:r>
      <w:r w:rsidRPr="006E4038">
        <w:rPr>
          <w:rFonts w:ascii="Palatino Linotype" w:hAnsi="Palatino Linotype" w:cs="Arial"/>
          <w:i/>
          <w:iCs/>
          <w:sz w:val="20"/>
          <w:szCs w:val="20"/>
          <w:shd w:val="clear" w:color="auto" w:fill="FFFFFF"/>
          <w:lang w:val="en-GB"/>
        </w:rPr>
        <w:t>Psychosomatics</w:t>
      </w:r>
      <w:r w:rsidRPr="006E4038">
        <w:rPr>
          <w:rFonts w:ascii="Palatino Linotype" w:hAnsi="Palatino Linotype" w:cs="Arial"/>
          <w:sz w:val="20"/>
          <w:szCs w:val="20"/>
          <w:shd w:val="clear" w:color="auto" w:fill="FFFFFF"/>
          <w:lang w:val="en-GB"/>
        </w:rPr>
        <w:t>, </w:t>
      </w:r>
      <w:r w:rsidRPr="006E4038">
        <w:rPr>
          <w:rFonts w:ascii="Palatino Linotype" w:hAnsi="Palatino Linotype" w:cs="Arial"/>
          <w:i/>
          <w:iCs/>
          <w:sz w:val="20"/>
          <w:szCs w:val="20"/>
          <w:shd w:val="clear" w:color="auto" w:fill="FFFFFF"/>
          <w:lang w:val="en-GB"/>
        </w:rPr>
        <w:t>50</w:t>
      </w:r>
      <w:r w:rsidRPr="006E4038">
        <w:rPr>
          <w:rFonts w:ascii="Palatino Linotype" w:hAnsi="Palatino Linotype" w:cs="Arial"/>
          <w:sz w:val="20"/>
          <w:szCs w:val="20"/>
          <w:shd w:val="clear" w:color="auto" w:fill="FFFFFF"/>
          <w:lang w:val="en-GB"/>
        </w:rPr>
        <w:t>(6), 613-621.</w:t>
      </w:r>
    </w:p>
    <w:p w:rsidR="00EC5DCE" w:rsidRDefault="00EC5DCE" w:rsidP="004D7102">
      <w:pPr>
        <w:spacing w:after="0"/>
        <w:ind w:left="567" w:hanging="567"/>
        <w:jc w:val="both"/>
        <w:rPr>
          <w:rFonts w:ascii="Times New Roman" w:hAnsi="Times New Roman"/>
          <w:sz w:val="20"/>
          <w:szCs w:val="20"/>
          <w:lang w:val="en-GB"/>
        </w:rPr>
      </w:pPr>
    </w:p>
    <w:p w:rsidR="00EC5DCE" w:rsidRDefault="00EC5DCE" w:rsidP="004D7102">
      <w:pPr>
        <w:spacing w:after="0"/>
        <w:ind w:left="567" w:hanging="567"/>
        <w:jc w:val="both"/>
        <w:rPr>
          <w:rFonts w:ascii="Times New Roman" w:hAnsi="Times New Roman"/>
          <w:sz w:val="20"/>
          <w:szCs w:val="20"/>
          <w:lang w:val="en-GB"/>
        </w:rPr>
      </w:pPr>
    </w:p>
    <w:p w:rsidR="00EC5DCE" w:rsidRDefault="00EC5DCE" w:rsidP="00EC5DCE">
      <w:pPr>
        <w:rPr>
          <w:rFonts w:ascii="Arial" w:eastAsia="Times New Roman" w:hAnsi="Arial" w:cs="Arial"/>
          <w:sz w:val="24"/>
          <w:szCs w:val="24"/>
          <w:u w:val="single"/>
        </w:rPr>
      </w:pPr>
      <w:proofErr w:type="spellStart"/>
      <w:r>
        <w:rPr>
          <w:rFonts w:ascii="Arial" w:hAnsi="Arial" w:cs="Arial"/>
          <w:sz w:val="24"/>
          <w:szCs w:val="24"/>
          <w:u w:val="single"/>
        </w:rPr>
        <w:t>Scoring</w:t>
      </w:r>
      <w:proofErr w:type="spellEnd"/>
    </w:p>
    <w:p w:rsidR="00EC5DCE" w:rsidRPr="00EC5DCE" w:rsidRDefault="00EC5DCE" w:rsidP="00EC5DCE">
      <w:pPr>
        <w:spacing w:after="120"/>
        <w:rPr>
          <w:rFonts w:ascii="Palatino Linotype" w:hAnsi="Palatino Linotype" w:cs="Arial"/>
          <w:sz w:val="20"/>
          <w:szCs w:val="20"/>
          <w:shd w:val="clear" w:color="auto" w:fill="FFFFFF"/>
          <w:lang w:val="en-GB"/>
        </w:rPr>
      </w:pPr>
      <w:r w:rsidRPr="00EC5DCE">
        <w:rPr>
          <w:rFonts w:ascii="Palatino Linotype" w:hAnsi="Palatino Linotype" w:cs="Arial"/>
          <w:sz w:val="20"/>
          <w:szCs w:val="20"/>
          <w:shd w:val="clear" w:color="auto" w:fill="FFFFFF"/>
          <w:lang w:val="en-GB"/>
        </w:rPr>
        <w:t>PHQ-4 total score ranges from 0 to 12, with categories of psychological distress being:</w:t>
      </w:r>
    </w:p>
    <w:p w:rsidR="00EC5DCE" w:rsidRPr="00EC5DCE" w:rsidRDefault="00EC5DCE" w:rsidP="00EC5DCE">
      <w:pPr>
        <w:numPr>
          <w:ilvl w:val="0"/>
          <w:numId w:val="1"/>
        </w:numPr>
        <w:spacing w:after="0" w:line="240" w:lineRule="auto"/>
        <w:rPr>
          <w:rFonts w:ascii="Palatino Linotype" w:hAnsi="Palatino Linotype" w:cs="Arial"/>
          <w:sz w:val="20"/>
          <w:szCs w:val="20"/>
          <w:shd w:val="clear" w:color="auto" w:fill="FFFFFF"/>
          <w:lang w:val="en-GB"/>
        </w:rPr>
      </w:pPr>
      <w:r w:rsidRPr="00EC5DCE">
        <w:rPr>
          <w:rFonts w:ascii="Palatino Linotype" w:hAnsi="Palatino Linotype" w:cs="Arial"/>
          <w:sz w:val="20"/>
          <w:szCs w:val="20"/>
          <w:shd w:val="clear" w:color="auto" w:fill="FFFFFF"/>
          <w:lang w:val="en-GB"/>
        </w:rPr>
        <w:t>None</w:t>
      </w:r>
      <w:r w:rsidRPr="00EC5DCE">
        <w:rPr>
          <w:rFonts w:ascii="Palatino Linotype" w:hAnsi="Palatino Linotype" w:cs="Arial"/>
          <w:sz w:val="20"/>
          <w:szCs w:val="20"/>
          <w:shd w:val="clear" w:color="auto" w:fill="FFFFFF"/>
          <w:lang w:val="en-GB"/>
        </w:rPr>
        <w:tab/>
      </w:r>
      <w:r w:rsidRPr="00EC5DCE">
        <w:rPr>
          <w:rFonts w:ascii="Palatino Linotype" w:hAnsi="Palatino Linotype" w:cs="Arial"/>
          <w:sz w:val="20"/>
          <w:szCs w:val="20"/>
          <w:shd w:val="clear" w:color="auto" w:fill="FFFFFF"/>
          <w:lang w:val="en-GB"/>
        </w:rPr>
        <w:tab/>
        <w:t>0-2</w:t>
      </w:r>
    </w:p>
    <w:p w:rsidR="00EC5DCE" w:rsidRPr="00EC5DCE" w:rsidRDefault="00EC5DCE" w:rsidP="00EC5DCE">
      <w:pPr>
        <w:numPr>
          <w:ilvl w:val="0"/>
          <w:numId w:val="1"/>
        </w:numPr>
        <w:spacing w:after="0" w:line="240" w:lineRule="auto"/>
        <w:rPr>
          <w:rFonts w:ascii="Palatino Linotype" w:hAnsi="Palatino Linotype" w:cs="Arial"/>
          <w:sz w:val="20"/>
          <w:szCs w:val="20"/>
          <w:shd w:val="clear" w:color="auto" w:fill="FFFFFF"/>
          <w:lang w:val="en-GB"/>
        </w:rPr>
      </w:pPr>
      <w:r w:rsidRPr="00EC5DCE">
        <w:rPr>
          <w:rFonts w:ascii="Palatino Linotype" w:hAnsi="Palatino Linotype" w:cs="Arial"/>
          <w:sz w:val="20"/>
          <w:szCs w:val="20"/>
          <w:shd w:val="clear" w:color="auto" w:fill="FFFFFF"/>
          <w:lang w:val="en-GB"/>
        </w:rPr>
        <w:t>Mild</w:t>
      </w:r>
      <w:r w:rsidRPr="00EC5DCE">
        <w:rPr>
          <w:rFonts w:ascii="Palatino Linotype" w:hAnsi="Palatino Linotype" w:cs="Arial"/>
          <w:sz w:val="20"/>
          <w:szCs w:val="20"/>
          <w:shd w:val="clear" w:color="auto" w:fill="FFFFFF"/>
          <w:lang w:val="en-GB"/>
        </w:rPr>
        <w:tab/>
      </w:r>
      <w:r w:rsidRPr="00EC5DCE">
        <w:rPr>
          <w:rFonts w:ascii="Palatino Linotype" w:hAnsi="Palatino Linotype" w:cs="Arial"/>
          <w:sz w:val="20"/>
          <w:szCs w:val="20"/>
          <w:shd w:val="clear" w:color="auto" w:fill="FFFFFF"/>
          <w:lang w:val="en-GB"/>
        </w:rPr>
        <w:tab/>
        <w:t>3-5</w:t>
      </w:r>
    </w:p>
    <w:p w:rsidR="00EC5DCE" w:rsidRPr="00EC5DCE" w:rsidRDefault="00EC5DCE" w:rsidP="00EC5DCE">
      <w:pPr>
        <w:numPr>
          <w:ilvl w:val="0"/>
          <w:numId w:val="1"/>
        </w:numPr>
        <w:spacing w:after="0" w:line="240" w:lineRule="auto"/>
        <w:rPr>
          <w:rFonts w:ascii="Palatino Linotype" w:hAnsi="Palatino Linotype" w:cs="Arial"/>
          <w:sz w:val="20"/>
          <w:szCs w:val="20"/>
          <w:shd w:val="clear" w:color="auto" w:fill="FFFFFF"/>
          <w:lang w:val="en-GB"/>
        </w:rPr>
      </w:pPr>
      <w:r w:rsidRPr="00EC5DCE">
        <w:rPr>
          <w:rFonts w:ascii="Palatino Linotype" w:hAnsi="Palatino Linotype" w:cs="Arial"/>
          <w:sz w:val="20"/>
          <w:szCs w:val="20"/>
          <w:shd w:val="clear" w:color="auto" w:fill="FFFFFF"/>
          <w:lang w:val="en-GB"/>
        </w:rPr>
        <w:t>Moderate</w:t>
      </w:r>
      <w:r w:rsidRPr="00EC5DCE">
        <w:rPr>
          <w:rFonts w:ascii="Palatino Linotype" w:hAnsi="Palatino Linotype" w:cs="Arial"/>
          <w:sz w:val="20"/>
          <w:szCs w:val="20"/>
          <w:shd w:val="clear" w:color="auto" w:fill="FFFFFF"/>
          <w:lang w:val="en-GB"/>
        </w:rPr>
        <w:tab/>
        <w:t>6-8</w:t>
      </w:r>
    </w:p>
    <w:p w:rsidR="00EC5DCE" w:rsidRPr="00EC5DCE" w:rsidRDefault="00EC5DCE" w:rsidP="00EC5DCE">
      <w:pPr>
        <w:numPr>
          <w:ilvl w:val="0"/>
          <w:numId w:val="1"/>
        </w:numPr>
        <w:spacing w:after="0" w:line="240" w:lineRule="auto"/>
        <w:rPr>
          <w:rFonts w:ascii="Palatino Linotype" w:hAnsi="Palatino Linotype" w:cs="Arial"/>
          <w:sz w:val="20"/>
          <w:szCs w:val="20"/>
          <w:shd w:val="clear" w:color="auto" w:fill="FFFFFF"/>
          <w:lang w:val="en-GB"/>
        </w:rPr>
      </w:pPr>
      <w:r w:rsidRPr="00EC5DCE">
        <w:rPr>
          <w:rFonts w:ascii="Palatino Linotype" w:hAnsi="Palatino Linotype" w:cs="Arial"/>
          <w:sz w:val="20"/>
          <w:szCs w:val="20"/>
          <w:shd w:val="clear" w:color="auto" w:fill="FFFFFF"/>
          <w:lang w:val="en-GB"/>
        </w:rPr>
        <w:t>Severe</w:t>
      </w:r>
      <w:r w:rsidRPr="00EC5DCE">
        <w:rPr>
          <w:rFonts w:ascii="Palatino Linotype" w:hAnsi="Palatino Linotype" w:cs="Arial"/>
          <w:sz w:val="20"/>
          <w:szCs w:val="20"/>
          <w:shd w:val="clear" w:color="auto" w:fill="FFFFFF"/>
          <w:lang w:val="en-GB"/>
        </w:rPr>
        <w:tab/>
      </w:r>
      <w:r>
        <w:rPr>
          <w:rFonts w:ascii="Palatino Linotype" w:hAnsi="Palatino Linotype" w:cs="Arial"/>
          <w:sz w:val="20"/>
          <w:szCs w:val="20"/>
          <w:shd w:val="clear" w:color="auto" w:fill="FFFFFF"/>
          <w:lang w:val="en-GB"/>
        </w:rPr>
        <w:t xml:space="preserve">              </w:t>
      </w:r>
      <w:r w:rsidRPr="00EC5DCE">
        <w:rPr>
          <w:rFonts w:ascii="Palatino Linotype" w:hAnsi="Palatino Linotype" w:cs="Arial"/>
          <w:sz w:val="20"/>
          <w:szCs w:val="20"/>
          <w:shd w:val="clear" w:color="auto" w:fill="FFFFFF"/>
          <w:lang w:val="en-GB"/>
        </w:rPr>
        <w:t xml:space="preserve">9-12 </w:t>
      </w:r>
    </w:p>
    <w:p w:rsidR="00EC5DCE" w:rsidRPr="00EC5DCE" w:rsidRDefault="00EC5DCE" w:rsidP="00EC5DCE">
      <w:pPr>
        <w:spacing w:line="240" w:lineRule="auto"/>
        <w:ind w:left="720"/>
        <w:rPr>
          <w:rFonts w:ascii="Palatino Linotype" w:hAnsi="Palatino Linotype" w:cs="Arial"/>
          <w:sz w:val="20"/>
          <w:szCs w:val="20"/>
          <w:shd w:val="clear" w:color="auto" w:fill="FFFFFF"/>
          <w:lang w:val="en-GB"/>
        </w:rPr>
      </w:pPr>
    </w:p>
    <w:p w:rsidR="00EC5DCE" w:rsidRPr="00EC5DCE" w:rsidRDefault="00EC5DCE" w:rsidP="00EC5DCE">
      <w:pPr>
        <w:spacing w:after="120" w:line="240" w:lineRule="auto"/>
        <w:rPr>
          <w:rFonts w:ascii="Palatino Linotype" w:hAnsi="Palatino Linotype" w:cs="Arial"/>
          <w:sz w:val="20"/>
          <w:szCs w:val="20"/>
          <w:shd w:val="clear" w:color="auto" w:fill="FFFFFF"/>
          <w:lang w:val="en-GB"/>
        </w:rPr>
      </w:pPr>
      <w:r w:rsidRPr="00EC5DCE">
        <w:rPr>
          <w:rFonts w:ascii="Palatino Linotype" w:hAnsi="Palatino Linotype" w:cs="Arial"/>
          <w:sz w:val="20"/>
          <w:szCs w:val="20"/>
          <w:shd w:val="clear" w:color="auto" w:fill="FFFFFF"/>
          <w:lang w:val="en-GB"/>
        </w:rPr>
        <w:t>Anxiety subscale = sum of items 1 and 2</w:t>
      </w:r>
      <w:r w:rsidRPr="00EC5DCE">
        <w:rPr>
          <w:rFonts w:ascii="Palatino Linotype" w:hAnsi="Palatino Linotype" w:cs="Arial"/>
          <w:sz w:val="20"/>
          <w:szCs w:val="20"/>
          <w:shd w:val="clear" w:color="auto" w:fill="FFFFFF"/>
          <w:lang w:val="en-GB"/>
        </w:rPr>
        <w:tab/>
      </w:r>
      <w:r w:rsidRPr="00EC5DCE">
        <w:rPr>
          <w:rFonts w:ascii="Palatino Linotype" w:hAnsi="Palatino Linotype" w:cs="Arial"/>
          <w:sz w:val="20"/>
          <w:szCs w:val="20"/>
          <w:shd w:val="clear" w:color="auto" w:fill="FFFFFF"/>
          <w:lang w:val="en-GB"/>
        </w:rPr>
        <w:tab/>
        <w:t>(score range, 0 to 6)</w:t>
      </w:r>
    </w:p>
    <w:p w:rsidR="00EC5DCE" w:rsidRPr="00EC5DCE" w:rsidRDefault="00EC5DCE" w:rsidP="00EC5DCE">
      <w:pPr>
        <w:spacing w:after="120" w:line="240" w:lineRule="auto"/>
        <w:rPr>
          <w:rFonts w:ascii="Palatino Linotype" w:hAnsi="Palatino Linotype" w:cs="Arial"/>
          <w:sz w:val="20"/>
          <w:szCs w:val="20"/>
          <w:shd w:val="clear" w:color="auto" w:fill="FFFFFF"/>
          <w:lang w:val="en-GB"/>
        </w:rPr>
      </w:pPr>
      <w:r w:rsidRPr="00EC5DCE">
        <w:rPr>
          <w:rFonts w:ascii="Palatino Linotype" w:hAnsi="Palatino Linotype" w:cs="Arial"/>
          <w:sz w:val="20"/>
          <w:szCs w:val="20"/>
          <w:shd w:val="clear" w:color="auto" w:fill="FFFFFF"/>
          <w:lang w:val="en-GB"/>
        </w:rPr>
        <w:t>Depression subscale = sum of items 3 and 4</w:t>
      </w:r>
      <w:r w:rsidRPr="00EC5DCE">
        <w:rPr>
          <w:rFonts w:ascii="Palatino Linotype" w:hAnsi="Palatino Linotype" w:cs="Arial"/>
          <w:sz w:val="20"/>
          <w:szCs w:val="20"/>
          <w:shd w:val="clear" w:color="auto" w:fill="FFFFFF"/>
          <w:lang w:val="en-GB"/>
        </w:rPr>
        <w:tab/>
        <w:t>(score range, 0 to 6)</w:t>
      </w:r>
    </w:p>
    <w:p w:rsidR="00EC5DCE" w:rsidRPr="00EC5DCE" w:rsidRDefault="00EC5DCE" w:rsidP="00EC5DCE">
      <w:pPr>
        <w:spacing w:after="120" w:line="240" w:lineRule="auto"/>
        <w:rPr>
          <w:rFonts w:ascii="Palatino Linotype" w:hAnsi="Palatino Linotype" w:cs="Arial"/>
          <w:sz w:val="20"/>
          <w:szCs w:val="20"/>
          <w:shd w:val="clear" w:color="auto" w:fill="FFFFFF"/>
          <w:lang w:val="en-GB"/>
        </w:rPr>
      </w:pPr>
      <w:r w:rsidRPr="00EC5DCE">
        <w:rPr>
          <w:rFonts w:ascii="Palatino Linotype" w:hAnsi="Palatino Linotype" w:cs="Arial"/>
          <w:sz w:val="20"/>
          <w:szCs w:val="20"/>
          <w:shd w:val="clear" w:color="auto" w:fill="FFFFFF"/>
          <w:lang w:val="en-GB"/>
        </w:rPr>
        <w:t>On each subscale, a score of 3 or greater is considered positive for screening purposes</w:t>
      </w:r>
    </w:p>
    <w:p w:rsidR="00EC5DCE" w:rsidRDefault="00EC5DCE" w:rsidP="00EC5DCE">
      <w:pPr>
        <w:spacing w:after="120"/>
        <w:rPr>
          <w:rFonts w:ascii="Arial" w:hAnsi="Arial" w:cs="Arial"/>
          <w:sz w:val="24"/>
          <w:szCs w:val="24"/>
        </w:rPr>
      </w:pPr>
    </w:p>
    <w:p w:rsidR="00EC5DCE" w:rsidRDefault="00EC5DCE" w:rsidP="00EC5DCE">
      <w:pPr>
        <w:pStyle w:val="GvdeMetni"/>
        <w:ind w:left="-540"/>
        <w:rPr>
          <w:sz w:val="20"/>
        </w:rPr>
      </w:pPr>
      <w:r>
        <w:rPr>
          <w:sz w:val="20"/>
        </w:rPr>
        <w:t xml:space="preserve">The PHQ scales were developed by Drs. Robert L. Spitzer, Janet B.W. Williams, and Kurt Kroenke and colleagues.  The PHQ scales are free to use. For research information, contact Dr. Kroenke at </w:t>
      </w:r>
      <w:hyperlink r:id="rId6" w:history="1">
        <w:r>
          <w:rPr>
            <w:rStyle w:val="Kpr"/>
            <w:sz w:val="20"/>
          </w:rPr>
          <w:t>kkroenke@regenstrief.org</w:t>
        </w:r>
      </w:hyperlink>
    </w:p>
    <w:p w:rsidR="00EC5DCE" w:rsidRDefault="00EC5DCE" w:rsidP="004D7102">
      <w:pPr>
        <w:spacing w:after="0"/>
        <w:ind w:left="567" w:hanging="567"/>
        <w:jc w:val="both"/>
        <w:rPr>
          <w:rFonts w:ascii="Times New Roman" w:hAnsi="Times New Roman"/>
          <w:sz w:val="20"/>
          <w:szCs w:val="20"/>
          <w:lang w:val="en-GB"/>
        </w:rPr>
      </w:pPr>
    </w:p>
    <w:p w:rsidR="004D7102" w:rsidRPr="009F4C14" w:rsidRDefault="004D7102" w:rsidP="004D7102">
      <w:pPr>
        <w:spacing w:after="0" w:line="240" w:lineRule="auto"/>
        <w:ind w:left="567" w:hanging="567"/>
        <w:jc w:val="both"/>
        <w:rPr>
          <w:rFonts w:ascii="Times New Roman" w:hAnsi="Times New Roman"/>
          <w:sz w:val="20"/>
          <w:szCs w:val="20"/>
          <w:lang w:val="en-GB"/>
        </w:rPr>
      </w:pPr>
    </w:p>
    <w:p w:rsidR="004D7102" w:rsidRDefault="004D7102" w:rsidP="004D7102">
      <w:pPr>
        <w:spacing w:after="0" w:line="240" w:lineRule="auto"/>
        <w:jc w:val="both"/>
        <w:rPr>
          <w:rFonts w:ascii="Times New Roman" w:hAnsi="Times New Roman"/>
          <w:sz w:val="20"/>
          <w:szCs w:val="20"/>
        </w:rPr>
      </w:pPr>
      <w:r w:rsidRPr="009F4C14">
        <w:rPr>
          <w:rFonts w:ascii="Times New Roman" w:hAnsi="Times New Roman"/>
          <w:sz w:val="20"/>
          <w:szCs w:val="20"/>
        </w:rPr>
        <w:t>Türkçe Form:</w:t>
      </w:r>
    </w:p>
    <w:p w:rsidR="004D7102" w:rsidRPr="009F4C14" w:rsidRDefault="004D7102" w:rsidP="004D7102">
      <w:pPr>
        <w:spacing w:after="0" w:line="240" w:lineRule="auto"/>
        <w:jc w:val="both"/>
        <w:rPr>
          <w:rFonts w:ascii="Times New Roman" w:hAnsi="Times New Roman"/>
          <w:sz w:val="20"/>
          <w:szCs w:val="20"/>
        </w:rPr>
      </w:pPr>
    </w:p>
    <w:p w:rsidR="004D7102" w:rsidRPr="009F4C14" w:rsidRDefault="004D7102" w:rsidP="004D7102">
      <w:pPr>
        <w:pStyle w:val="AklamaMetni"/>
        <w:spacing w:after="0" w:line="240" w:lineRule="auto"/>
        <w:ind w:left="709" w:hanging="709"/>
        <w:jc w:val="both"/>
        <w:rPr>
          <w:rFonts w:ascii="Times New Roman" w:eastAsia="Calibri" w:hAnsi="Times New Roman"/>
          <w:lang w:val="en-GB" w:eastAsia="en-US"/>
        </w:rPr>
      </w:pPr>
      <w:r>
        <w:rPr>
          <w:rFonts w:ascii="Times New Roman" w:hAnsi="Times New Roman"/>
        </w:rPr>
        <w:t>Demirci, İ</w:t>
      </w:r>
      <w:proofErr w:type="gramStart"/>
      <w:r>
        <w:rPr>
          <w:rFonts w:ascii="Times New Roman" w:hAnsi="Times New Roman"/>
        </w:rPr>
        <w:t>.,</w:t>
      </w:r>
      <w:proofErr w:type="gramEnd"/>
      <w:r>
        <w:rPr>
          <w:rFonts w:ascii="Times New Roman" w:hAnsi="Times New Roman"/>
        </w:rPr>
        <w:t xml:space="preserve"> Ekşi., H.</w:t>
      </w:r>
      <w:r w:rsidRPr="009F4C14">
        <w:rPr>
          <w:rFonts w:ascii="Times New Roman" w:hAnsi="Times New Roman"/>
        </w:rPr>
        <w:t xml:space="preserve"> (2018). </w:t>
      </w:r>
      <w:r w:rsidRPr="009F4C14">
        <w:rPr>
          <w:rFonts w:ascii="Times New Roman" w:eastAsia="Calibri" w:hAnsi="Times New Roman"/>
          <w:lang w:val="en-GB" w:eastAsia="en-US"/>
        </w:rPr>
        <w:t xml:space="preserve">Don't bother your pretty little head otherwise you can’t enjoy life. </w:t>
      </w:r>
      <w:r w:rsidRPr="009F4C14">
        <w:rPr>
          <w:rFonts w:ascii="Times New Roman" w:hAnsi="Times New Roman"/>
        </w:rPr>
        <w:t xml:space="preserve">ERPA International </w:t>
      </w:r>
      <w:proofErr w:type="spellStart"/>
      <w:r w:rsidRPr="009F4C14">
        <w:rPr>
          <w:rFonts w:ascii="Times New Roman" w:hAnsi="Times New Roman"/>
        </w:rPr>
        <w:t>Congresses</w:t>
      </w:r>
      <w:proofErr w:type="spellEnd"/>
      <w:r w:rsidRPr="009F4C14">
        <w:rPr>
          <w:rFonts w:ascii="Times New Roman" w:hAnsi="Times New Roman"/>
        </w:rPr>
        <w:t xml:space="preserve"> on </w:t>
      </w:r>
      <w:proofErr w:type="spellStart"/>
      <w:r w:rsidRPr="009F4C14">
        <w:rPr>
          <w:rFonts w:ascii="Times New Roman" w:hAnsi="Times New Roman"/>
        </w:rPr>
        <w:t>Education</w:t>
      </w:r>
      <w:proofErr w:type="spellEnd"/>
      <w:r w:rsidRPr="009F4C14">
        <w:rPr>
          <w:rFonts w:ascii="Times New Roman" w:hAnsi="Times New Roman"/>
        </w:rPr>
        <w:t xml:space="preserve"> 2018, 28 </w:t>
      </w:r>
      <w:proofErr w:type="spellStart"/>
      <w:r w:rsidRPr="009F4C14">
        <w:rPr>
          <w:rFonts w:ascii="Times New Roman" w:hAnsi="Times New Roman"/>
        </w:rPr>
        <w:t>June</w:t>
      </w:r>
      <w:proofErr w:type="spellEnd"/>
      <w:r w:rsidRPr="009F4C14">
        <w:rPr>
          <w:rFonts w:ascii="Times New Roman" w:hAnsi="Times New Roman"/>
        </w:rPr>
        <w:t xml:space="preserve"> -1 </w:t>
      </w:r>
      <w:proofErr w:type="spellStart"/>
      <w:r w:rsidRPr="009F4C14">
        <w:rPr>
          <w:rFonts w:ascii="Times New Roman" w:hAnsi="Times New Roman"/>
        </w:rPr>
        <w:t>July</w:t>
      </w:r>
      <w:proofErr w:type="spellEnd"/>
      <w:r w:rsidRPr="009F4C14">
        <w:rPr>
          <w:rFonts w:ascii="Times New Roman" w:hAnsi="Times New Roman"/>
        </w:rPr>
        <w:t xml:space="preserve"> 2018</w:t>
      </w:r>
      <w:r>
        <w:rPr>
          <w:rFonts w:ascii="Times New Roman" w:hAnsi="Times New Roman"/>
        </w:rPr>
        <w:t xml:space="preserve">, </w:t>
      </w:r>
      <w:proofErr w:type="spellStart"/>
      <w:r w:rsidRPr="009F4C14">
        <w:rPr>
          <w:rFonts w:ascii="Times New Roman" w:hAnsi="Times New Roman"/>
        </w:rPr>
        <w:t>Istanbul</w:t>
      </w:r>
      <w:proofErr w:type="spellEnd"/>
      <w:r w:rsidRPr="009F4C14">
        <w:rPr>
          <w:rFonts w:ascii="Times New Roman" w:hAnsi="Times New Roman"/>
        </w:rPr>
        <w:t xml:space="preserve"> / </w:t>
      </w:r>
      <w:proofErr w:type="spellStart"/>
      <w:r w:rsidRPr="009F4C14">
        <w:rPr>
          <w:rFonts w:ascii="Times New Roman" w:hAnsi="Times New Roman"/>
        </w:rPr>
        <w:t>Turkey</w:t>
      </w:r>
      <w:proofErr w:type="spellEnd"/>
      <w:r>
        <w:rPr>
          <w:rFonts w:ascii="Times New Roman" w:hAnsi="Times New Roman"/>
        </w:rPr>
        <w:t>.</w:t>
      </w:r>
    </w:p>
    <w:p w:rsidR="004D7102" w:rsidRDefault="004D7102"/>
    <w:sectPr w:rsidR="004D71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A2BB8"/>
    <w:multiLevelType w:val="hybridMultilevel"/>
    <w:tmpl w:val="E4424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C1"/>
    <w:rsid w:val="004536C1"/>
    <w:rsid w:val="004D7102"/>
    <w:rsid w:val="005B111C"/>
    <w:rsid w:val="00751AE1"/>
    <w:rsid w:val="00EB6974"/>
    <w:rsid w:val="00EC5D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667C"/>
  <w15:chartTrackingRefBased/>
  <w15:docId w15:val="{2B12473F-5D52-48EA-A411-1C97DA06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102"/>
    <w:pPr>
      <w:spacing w:after="200" w:line="276" w:lineRule="auto"/>
    </w:pPr>
    <w:rPr>
      <w:rFonts w:ascii="Calibri" w:eastAsia="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nhideWhenUsed/>
    <w:rsid w:val="004D7102"/>
    <w:rPr>
      <w:rFonts w:ascii="Cambria" w:eastAsia="MS Mincho" w:hAnsi="Cambria"/>
      <w:sz w:val="20"/>
      <w:szCs w:val="20"/>
    </w:rPr>
  </w:style>
  <w:style w:type="character" w:customStyle="1" w:styleId="AklamaMetniChar">
    <w:name w:val="Açıklama Metni Char"/>
    <w:basedOn w:val="VarsaylanParagrafYazTipi"/>
    <w:link w:val="AklamaMetni"/>
    <w:rsid w:val="004D7102"/>
    <w:rPr>
      <w:rFonts w:ascii="Cambria" w:eastAsia="MS Mincho" w:hAnsi="Cambria" w:cs="Times New Roman"/>
      <w:sz w:val="20"/>
      <w:szCs w:val="20"/>
      <w:lang w:eastAsia="tr-TR"/>
    </w:rPr>
  </w:style>
  <w:style w:type="character" w:styleId="Kpr">
    <w:name w:val="Hyperlink"/>
    <w:uiPriority w:val="99"/>
    <w:unhideWhenUsed/>
    <w:rsid w:val="004D7102"/>
    <w:rPr>
      <w:color w:val="0000FF"/>
      <w:u w:val="single"/>
    </w:rPr>
  </w:style>
  <w:style w:type="paragraph" w:styleId="GvdeMetni">
    <w:name w:val="Body Text"/>
    <w:basedOn w:val="Normal"/>
    <w:link w:val="GvdeMetniChar"/>
    <w:semiHidden/>
    <w:unhideWhenUsed/>
    <w:rsid w:val="00EC5DCE"/>
    <w:pPr>
      <w:pBdr>
        <w:top w:val="single" w:sz="6" w:space="1" w:color="auto"/>
      </w:pBdr>
      <w:spacing w:after="80" w:line="240" w:lineRule="auto"/>
    </w:pPr>
    <w:rPr>
      <w:rFonts w:ascii="Arial" w:eastAsia="Times New Roman" w:hAnsi="Arial"/>
      <w:sz w:val="18"/>
      <w:szCs w:val="20"/>
      <w:lang w:val="en-US" w:eastAsia="en-US"/>
    </w:rPr>
  </w:style>
  <w:style w:type="character" w:customStyle="1" w:styleId="GvdeMetniChar">
    <w:name w:val="Gövde Metni Char"/>
    <w:basedOn w:val="VarsaylanParagrafYazTipi"/>
    <w:link w:val="GvdeMetni"/>
    <w:semiHidden/>
    <w:rsid w:val="00EC5DCE"/>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27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kroenke@regenstrief.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756AE-2F58-42BC-AE57-3A6908DB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220</Words>
  <Characters>1254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4</cp:revision>
  <dcterms:created xsi:type="dcterms:W3CDTF">2018-11-09T06:11:00Z</dcterms:created>
  <dcterms:modified xsi:type="dcterms:W3CDTF">2018-11-09T08:51:00Z</dcterms:modified>
</cp:coreProperties>
</file>