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2" w:rsidRPr="002A7848" w:rsidRDefault="000173A8" w:rsidP="002A7848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BİREYSEL</w:t>
      </w:r>
      <w:bookmarkStart w:id="0" w:name="_GoBack"/>
      <w:bookmarkEnd w:id="0"/>
      <w:r w:rsidR="009C7CE9" w:rsidRPr="002A7848">
        <w:rPr>
          <w:rFonts w:ascii="Times New Roman" w:hAnsi="Times New Roman" w:cs="Times New Roman"/>
          <w:b/>
        </w:rPr>
        <w:t xml:space="preserve"> DEĞERLER ENVANTERİ</w:t>
      </w:r>
    </w:p>
    <w:tbl>
      <w:tblPr>
        <w:tblStyle w:val="TabloKlavuzu"/>
        <w:tblW w:w="966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6945"/>
        <w:gridCol w:w="426"/>
        <w:gridCol w:w="425"/>
        <w:gridCol w:w="425"/>
        <w:gridCol w:w="425"/>
        <w:gridCol w:w="426"/>
      </w:tblGrid>
      <w:tr w:rsidR="009C7CE9" w:rsidRPr="00CE19FC" w:rsidTr="00CE19FC">
        <w:trPr>
          <w:trHeight w:val="1574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lang w:val="tr-TR"/>
              </w:rPr>
              <w:t>Aşağıdaki cümlelerin her birine ne derece katıldığınızı, yanındaki kutucuklarda yer alan rakamlardan yalnızca birinin üstüne (X) işareti koyarak gösteriniz.</w:t>
            </w:r>
          </w:p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9C7CE9" w:rsidRPr="00CE19FC" w:rsidTr="009C7CE9">
              <w:trPr>
                <w:trHeight w:val="420"/>
                <w:jc w:val="center"/>
              </w:trPr>
              <w:tc>
                <w:tcPr>
                  <w:tcW w:w="5220" w:type="dxa"/>
                </w:tcPr>
                <w:p w:rsidR="009C7CE9" w:rsidRPr="00CE19FC" w:rsidRDefault="009C7CE9" w:rsidP="009C7CE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9F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</w:t>
                  </w:r>
                  <w:r w:rsidRPr="00CE19F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  2</w:t>
                  </w:r>
                  <w:r w:rsidRPr="00CE19F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           3</w:t>
                  </w:r>
                  <w:r w:rsidRPr="00CE19F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      4</w:t>
                  </w:r>
                  <w:r w:rsidRPr="00CE19F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  5</w:t>
                  </w:r>
                </w:p>
              </w:tc>
            </w:tr>
          </w:tbl>
          <w:p w:rsidR="009C7CE9" w:rsidRPr="00CE19FC" w:rsidRDefault="009C7CE9" w:rsidP="0083091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   Kesinlikle katılmıyorum                                                                     Kesinlikle katılıyorum</w:t>
            </w:r>
          </w:p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9C7CE9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633D00" w:rsidP="00CE19FC">
            <w:pPr>
              <w:rPr>
                <w:rFonts w:ascii="Times New Roman" w:eastAsia="MS Mincho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Özgür ruhlu olmakla kendini kontrol edebilmek arasında denge kurabilirim.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9C7CE9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İşimi yaparken doğru süreçleri takip ederim.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CE9" w:rsidRPr="00CE19FC" w:rsidRDefault="009C7CE9" w:rsidP="0083091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Dürüstlük ve doğruluk başarıyla ilişkilidir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Özür dilemek bana göre değildir.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Bence paylaşmak iyi ve sağlıklı bir ilişkinin temelidir.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 şeyi yapacağını söyleyip de yapmayan insanları affedebilirim.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Diğer insanların katkısına saygı duyarım.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Hiç kimseye güvenemem.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Kendimi kaliteli bir ürün ortaya koymaya adamışımdır.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Diğer insanların fikirlerini dinlemektense kendimi onlarla karşı karşıya kalmış buluyorum.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Dürüstlük ve bütünleşme ev dışında gerekli değildir.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Dürüstlük benim için en üstün önceliğe sahiptir.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 benim duygularımı incittiğinde affedebilirim.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Kendimi disiplinli biri olarak görüyorum.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Birlikte çalıştığım insanlara saygı duyarım.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İşte adil olarak kendime düşen payı yaparım.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 hata yaptığımda hatamı kabul ederim.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Başkalarının bakış açılarına saygı duyarım.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Başkalarına güvenmenin eski moda olduğunu düşünüyorum.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 hatalarım hakkında dürüst olabilirim.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Birlikte çalıştığım insanların yorumlarını saldırgan bulursam onlara nasıl hissettiğimi söylerim.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Paylaşmacı biriyimdir.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Dürüstçe fikirlerimi ifade ederim.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Geçmişte bana yanlış davranmış olan birini affederim.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İnandığım bir değer vardır.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Bence özür dilemek zayıflık işaretidir.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Geçmiş deneyimlerimden dolayı konuşmayacağım insanlar vardır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Adanmış bir çalışanım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Kin tutarım.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Biriyle paylaşımda bulununca kendimi iyi hissederim.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Dürüstlüğün işe yaradığını düşünürüm.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İnsanlar bana güvenir.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Hedeflerim vardır.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“Özür dilerim” demek benim için kolaydır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Kendimi tümüyle iyi hissetmemde paylaşmanın yeri büyüktür.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Hata yapan insanları affedebilirim.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Kendimi dürüst biri olarak görürüm.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İnsanların itimat ettiği biriyimdir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Diğer insanlara güvenmek konusunda şüpheciyimdir.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Güvenilir biriyim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Ulaşmaya çalıştığım amaçlarım var.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“Affedebilir ve unutabilirim</w:t>
            </w:r>
            <w:r w:rsidR="0070161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Nitelikli bir çalışma ortamına kendimi adamaktayım.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Kendimi sadık bir kişi olarak tanımlarım</w:t>
            </w:r>
            <w:r w:rsidR="00CE19FC"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Sözüm senedimdir.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630819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İşverenimin başarılı olduğunu görmeye kendimi adadım.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  <w:tr w:rsidR="00633D00" w:rsidRPr="00CE19FC" w:rsidTr="00CE19FC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CE19F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Sonuçları ne olursa olsun doğrulardan yanayımdır.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00" w:rsidRPr="00CE19FC" w:rsidRDefault="00633D00" w:rsidP="0063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CE19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</w:tr>
    </w:tbl>
    <w:p w:rsidR="0088652E" w:rsidRDefault="0088652E" w:rsidP="009C7CE9">
      <w:pPr>
        <w:spacing w:before="120" w:after="120" w:line="360" w:lineRule="auto"/>
        <w:rPr>
          <w:rFonts w:ascii="Times New Roman" w:hAnsi="Times New Roman" w:cs="Times New Roman"/>
        </w:rPr>
      </w:pPr>
    </w:p>
    <w:p w:rsidR="00A065A9" w:rsidRPr="007F05F3" w:rsidRDefault="00E82E1F" w:rsidP="007F05F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F05F3">
        <w:rPr>
          <w:rFonts w:ascii="Times New Roman" w:hAnsi="Times New Roman" w:cs="Times New Roman"/>
          <w:b/>
        </w:rPr>
        <w:t>Kaynakça:</w:t>
      </w:r>
      <w:r w:rsidRPr="007F05F3">
        <w:rPr>
          <w:rFonts w:ascii="Times New Roman" w:hAnsi="Times New Roman" w:cs="Times New Roman"/>
        </w:rPr>
        <w:t xml:space="preserve"> Asan, T., Ekşi, F., Doğan, A. ve Ekşi, H. (2008). Bireysel Değerler Envanteri’ </w:t>
      </w:r>
      <w:proofErr w:type="spellStart"/>
      <w:r w:rsidRPr="007F05F3">
        <w:rPr>
          <w:rFonts w:ascii="Times New Roman" w:hAnsi="Times New Roman" w:cs="Times New Roman"/>
        </w:rPr>
        <w:t>nin</w:t>
      </w:r>
      <w:proofErr w:type="spellEnd"/>
      <w:r w:rsidRPr="007F05F3">
        <w:rPr>
          <w:rFonts w:ascii="Times New Roman" w:hAnsi="Times New Roman" w:cs="Times New Roman"/>
        </w:rPr>
        <w:t xml:space="preserve"> dilsel eşdeğerlik, geçerlik ve güvenirlik çalışması. </w:t>
      </w:r>
      <w:r w:rsidRPr="007F05F3">
        <w:rPr>
          <w:rFonts w:ascii="Times New Roman" w:hAnsi="Times New Roman" w:cs="Times New Roman"/>
          <w:i/>
        </w:rPr>
        <w:t>Marmara Üniversitesi Atatürk Eğitim Fakültesi Eğitim Bilimleri Dergisi, 27,</w:t>
      </w:r>
      <w:r w:rsidRPr="007F05F3">
        <w:rPr>
          <w:rFonts w:ascii="Times New Roman" w:hAnsi="Times New Roman" w:cs="Times New Roman"/>
        </w:rPr>
        <w:t xml:space="preserve"> 15-38.</w:t>
      </w:r>
    </w:p>
    <w:p w:rsidR="007F05F3" w:rsidRDefault="00A065A9" w:rsidP="007F05F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F05F3">
        <w:rPr>
          <w:rFonts w:ascii="Times New Roman" w:hAnsi="Times New Roman" w:cs="Times New Roman"/>
          <w:b/>
        </w:rPr>
        <w:t>Orijinal Kaynak:</w:t>
      </w:r>
      <w:r w:rsidRPr="007F05F3">
        <w:rPr>
          <w:rFonts w:ascii="Times New Roman" w:hAnsi="Times New Roman" w:cs="Times New Roman"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</w:rPr>
        <w:t>Roy</w:t>
      </w:r>
      <w:proofErr w:type="spellEnd"/>
      <w:r w:rsidR="007F05F3" w:rsidRPr="007F05F3">
        <w:rPr>
          <w:rFonts w:ascii="Times New Roman" w:hAnsi="Times New Roman" w:cs="Times New Roman"/>
        </w:rPr>
        <w:t xml:space="preserve">, A. (2003).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Factor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analysis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and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initial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validation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the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personal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values</w:t>
      </w:r>
      <w:proofErr w:type="spellEnd"/>
      <w:r w:rsidR="007F05F3" w:rsidRPr="007F0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  <w:i/>
          <w:iCs/>
        </w:rPr>
        <w:t>inventory</w:t>
      </w:r>
      <w:proofErr w:type="spellEnd"/>
      <w:r w:rsidR="007F05F3" w:rsidRPr="007F05F3">
        <w:rPr>
          <w:rFonts w:ascii="Times New Roman" w:hAnsi="Times New Roman" w:cs="Times New Roman"/>
        </w:rPr>
        <w:t xml:space="preserve"> (</w:t>
      </w:r>
      <w:proofErr w:type="spellStart"/>
      <w:r w:rsidR="007F05F3" w:rsidRPr="007F05F3">
        <w:rPr>
          <w:rFonts w:ascii="Times New Roman" w:hAnsi="Times New Roman" w:cs="Times New Roman"/>
        </w:rPr>
        <w:t>Unpublished</w:t>
      </w:r>
      <w:proofErr w:type="spellEnd"/>
      <w:r w:rsidR="007F05F3" w:rsidRPr="007F05F3">
        <w:rPr>
          <w:rFonts w:ascii="Times New Roman" w:hAnsi="Times New Roman" w:cs="Times New Roman"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</w:rPr>
        <w:t>doctorate</w:t>
      </w:r>
      <w:proofErr w:type="spellEnd"/>
      <w:r w:rsidR="007F05F3" w:rsidRPr="007F05F3">
        <w:rPr>
          <w:rFonts w:ascii="Times New Roman" w:hAnsi="Times New Roman" w:cs="Times New Roman"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</w:rPr>
        <w:t>dissertation</w:t>
      </w:r>
      <w:proofErr w:type="spellEnd"/>
      <w:r w:rsidR="007F05F3">
        <w:rPr>
          <w:rFonts w:ascii="Times New Roman" w:hAnsi="Times New Roman" w:cs="Times New Roman"/>
        </w:rPr>
        <w:t>).</w:t>
      </w:r>
      <w:r w:rsidR="007F05F3" w:rsidRPr="007F05F3">
        <w:rPr>
          <w:rFonts w:ascii="Times New Roman" w:hAnsi="Times New Roman" w:cs="Times New Roman"/>
        </w:rPr>
        <w:t xml:space="preserve"> Tennessee </w:t>
      </w:r>
      <w:proofErr w:type="spellStart"/>
      <w:r w:rsidR="007F05F3" w:rsidRPr="007F05F3">
        <w:rPr>
          <w:rFonts w:ascii="Times New Roman" w:hAnsi="Times New Roman" w:cs="Times New Roman"/>
        </w:rPr>
        <w:t>State</w:t>
      </w:r>
      <w:proofErr w:type="spellEnd"/>
      <w:r w:rsidR="007F05F3" w:rsidRPr="007F05F3">
        <w:rPr>
          <w:rFonts w:ascii="Times New Roman" w:hAnsi="Times New Roman" w:cs="Times New Roman"/>
        </w:rPr>
        <w:t xml:space="preserve"> </w:t>
      </w:r>
      <w:proofErr w:type="spellStart"/>
      <w:r w:rsidR="007F05F3" w:rsidRPr="007F05F3">
        <w:rPr>
          <w:rFonts w:ascii="Times New Roman" w:hAnsi="Times New Roman" w:cs="Times New Roman"/>
        </w:rPr>
        <w:t>University</w:t>
      </w:r>
      <w:proofErr w:type="spellEnd"/>
      <w:r w:rsidR="007F05F3" w:rsidRPr="007F05F3">
        <w:rPr>
          <w:rFonts w:ascii="Times New Roman" w:hAnsi="Times New Roman" w:cs="Times New Roman"/>
        </w:rPr>
        <w:t>, USA.</w:t>
      </w:r>
    </w:p>
    <w:p w:rsidR="007F05F3" w:rsidRDefault="007F05F3" w:rsidP="007F05F3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A02AB" w:rsidRDefault="00643C2F" w:rsidP="007F05F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DA02AB">
        <w:rPr>
          <w:rFonts w:ascii="Times New Roman" w:hAnsi="Times New Roman" w:cs="Times New Roman"/>
          <w:b/>
        </w:rPr>
        <w:lastRenderedPageBreak/>
        <w:t>Altboyut</w:t>
      </w:r>
      <w:proofErr w:type="spellEnd"/>
      <w:r w:rsidRPr="00DA02AB">
        <w:rPr>
          <w:rFonts w:ascii="Times New Roman" w:hAnsi="Times New Roman" w:cs="Times New Roman"/>
          <w:b/>
        </w:rPr>
        <w:t xml:space="preserve"> ve madde sayısı:</w:t>
      </w:r>
      <w:r>
        <w:rPr>
          <w:rFonts w:ascii="Times New Roman" w:hAnsi="Times New Roman" w:cs="Times New Roman"/>
        </w:rPr>
        <w:t xml:space="preserve"> </w:t>
      </w:r>
      <w:r w:rsidR="00DA02AB">
        <w:rPr>
          <w:rFonts w:ascii="Times New Roman" w:hAnsi="Times New Roman" w:cs="Times New Roman"/>
        </w:rPr>
        <w:t>5 alt boyut, 47 madde</w:t>
      </w:r>
    </w:p>
    <w:p w:rsidR="00DA02AB" w:rsidRDefault="00DA02AB" w:rsidP="00DA02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02AB">
        <w:rPr>
          <w:rFonts w:ascii="Times New Roman" w:hAnsi="Times New Roman" w:cs="Times New Roman"/>
          <w:b/>
          <w:i/>
        </w:rPr>
        <w:t>Disiplin ve sorumluluk:</w:t>
      </w:r>
      <w:r>
        <w:rPr>
          <w:rFonts w:ascii="Times New Roman" w:hAnsi="Times New Roman" w:cs="Times New Roman"/>
        </w:rPr>
        <w:t xml:space="preserve"> 16 madde (1, 2, 9, 14, 15, 16, 25, 28, 32, 33, 38, 40, 41, 43, 44, 46)</w:t>
      </w:r>
    </w:p>
    <w:p w:rsidR="00DA02AB" w:rsidRDefault="00DA02AB" w:rsidP="00DA02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02AB">
        <w:rPr>
          <w:rFonts w:ascii="Times New Roman" w:hAnsi="Times New Roman" w:cs="Times New Roman"/>
          <w:b/>
          <w:i/>
        </w:rPr>
        <w:t>Güven ve bağışlama:</w:t>
      </w:r>
      <w:r>
        <w:rPr>
          <w:rFonts w:ascii="Times New Roman" w:hAnsi="Times New Roman" w:cs="Times New Roman"/>
        </w:rPr>
        <w:t xml:space="preserve"> 12 madde (6, 8, 10, 13, 19, 24, 29, 33, 34, 36, 39, 42)</w:t>
      </w:r>
    </w:p>
    <w:p w:rsidR="00DA02AB" w:rsidRDefault="00DA02AB" w:rsidP="00DA02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02AB">
        <w:rPr>
          <w:rFonts w:ascii="Times New Roman" w:hAnsi="Times New Roman" w:cs="Times New Roman"/>
          <w:b/>
          <w:i/>
        </w:rPr>
        <w:t>Dürüstlük ve paylaşım:</w:t>
      </w:r>
      <w:r>
        <w:rPr>
          <w:rFonts w:ascii="Times New Roman" w:hAnsi="Times New Roman" w:cs="Times New Roman"/>
        </w:rPr>
        <w:t xml:space="preserve"> 9 madde (3, 4, 12, 21, 22, 31, 37, 45, 47)</w:t>
      </w:r>
    </w:p>
    <w:p w:rsidR="00DA02AB" w:rsidRDefault="00DA02AB" w:rsidP="00DA02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02AB">
        <w:rPr>
          <w:rFonts w:ascii="Times New Roman" w:hAnsi="Times New Roman" w:cs="Times New Roman"/>
          <w:b/>
          <w:i/>
        </w:rPr>
        <w:t>Saygı ve doğruluk:</w:t>
      </w:r>
      <w:r>
        <w:rPr>
          <w:rFonts w:ascii="Times New Roman" w:hAnsi="Times New Roman" w:cs="Times New Roman"/>
        </w:rPr>
        <w:t xml:space="preserve"> 6 madde (11, 17, 18, 20, 26, 27)</w:t>
      </w:r>
    </w:p>
    <w:p w:rsidR="00A15686" w:rsidRPr="001E48CE" w:rsidRDefault="00DA02AB" w:rsidP="00A1568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02AB">
        <w:rPr>
          <w:rFonts w:ascii="Times New Roman" w:hAnsi="Times New Roman" w:cs="Times New Roman"/>
          <w:b/>
          <w:i/>
        </w:rPr>
        <w:t>Paylaşım ve saygı:</w:t>
      </w:r>
      <w:r>
        <w:rPr>
          <w:rFonts w:ascii="Times New Roman" w:hAnsi="Times New Roman" w:cs="Times New Roman"/>
        </w:rPr>
        <w:t xml:space="preserve"> 4 madde (5, 7, 30, 35) </w:t>
      </w:r>
    </w:p>
    <w:p w:rsidR="001E48CE" w:rsidRDefault="001E48CE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E48CE" w:rsidRPr="001E48CE" w:rsidRDefault="001E48CE" w:rsidP="001E48C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E48CE">
        <w:rPr>
          <w:rFonts w:ascii="Times New Roman" w:hAnsi="Times New Roman" w:cs="Times New Roman"/>
          <w:b/>
        </w:rPr>
        <w:t>Ölçeğin Puanlaması</w:t>
      </w:r>
      <w:r w:rsidRPr="001E48CE">
        <w:rPr>
          <w:rFonts w:ascii="Times New Roman" w:hAnsi="Times New Roman" w:cs="Times New Roman"/>
        </w:rPr>
        <w:t>: Ölçekte ters madde bulun</w:t>
      </w:r>
      <w:r>
        <w:rPr>
          <w:rFonts w:ascii="Times New Roman" w:hAnsi="Times New Roman" w:cs="Times New Roman"/>
        </w:rPr>
        <w:t>ma</w:t>
      </w:r>
      <w:r w:rsidRPr="001E48CE">
        <w:rPr>
          <w:rFonts w:ascii="Times New Roman" w:hAnsi="Times New Roman" w:cs="Times New Roman"/>
        </w:rPr>
        <w:t>maktadır.</w:t>
      </w:r>
    </w:p>
    <w:p w:rsidR="001E48CE" w:rsidRDefault="001E48CE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E48CE">
        <w:rPr>
          <w:rFonts w:ascii="Times New Roman" w:hAnsi="Times New Roman" w:cs="Times New Roman"/>
          <w:b/>
        </w:rPr>
        <w:t>Ölçeğin Değerlendirilmesi</w:t>
      </w:r>
      <w:r w:rsidRPr="001E48CE">
        <w:rPr>
          <w:rFonts w:ascii="Times New Roman" w:hAnsi="Times New Roman" w:cs="Times New Roman"/>
        </w:rPr>
        <w:t xml:space="preserve">: Ölçeğin her bir alt boyutundan alınan yüksek puan bireyin ilgili alt boyutun değerlendirdiği özelliğe sahip olduğunu göstermektedir. </w:t>
      </w:r>
    </w:p>
    <w:p w:rsidR="001E48CE" w:rsidRPr="00A15686" w:rsidRDefault="001E48CE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15686" w:rsidRDefault="00A15686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15686">
        <w:rPr>
          <w:rFonts w:ascii="Times New Roman" w:hAnsi="Times New Roman" w:cs="Times New Roman"/>
          <w:b/>
        </w:rPr>
        <w:t>Geçerlilik: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analizine 55 madde ile başlanmıştır. İlk analiz sonuçları incelendiğinde ölçeğin </w:t>
      </w:r>
      <w:proofErr w:type="spellStart"/>
      <w:r w:rsidRPr="00A15686">
        <w:rPr>
          <w:rFonts w:ascii="Times New Roman" w:hAnsi="Times New Roman" w:cs="Times New Roman"/>
        </w:rPr>
        <w:t>özdeğeri</w:t>
      </w:r>
      <w:proofErr w:type="spellEnd"/>
      <w:r w:rsidRPr="00A15686">
        <w:rPr>
          <w:rFonts w:ascii="Times New Roman" w:hAnsi="Times New Roman" w:cs="Times New Roman"/>
        </w:rPr>
        <w:t xml:space="preserve"> 2’den </w:t>
      </w:r>
      <w:proofErr w:type="spellStart"/>
      <w:r w:rsidRPr="00A15686">
        <w:rPr>
          <w:rFonts w:ascii="Times New Roman" w:hAnsi="Times New Roman" w:cs="Times New Roman"/>
        </w:rPr>
        <w:t>büyük</w:t>
      </w:r>
      <w:proofErr w:type="spellEnd"/>
      <w:r w:rsidRPr="00A15686">
        <w:rPr>
          <w:rFonts w:ascii="Times New Roman" w:hAnsi="Times New Roman" w:cs="Times New Roman"/>
        </w:rPr>
        <w:t xml:space="preserve"> 5 </w:t>
      </w:r>
      <w:proofErr w:type="spellStart"/>
      <w:r w:rsidRPr="00A15686">
        <w:rPr>
          <w:rFonts w:ascii="Times New Roman" w:hAnsi="Times New Roman" w:cs="Times New Roman"/>
        </w:rPr>
        <w:t>faktörde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toplandığı</w:t>
      </w:r>
      <w:proofErr w:type="spellEnd"/>
      <w:r w:rsidRPr="00A15686">
        <w:rPr>
          <w:rFonts w:ascii="Times New Roman" w:hAnsi="Times New Roman" w:cs="Times New Roman"/>
        </w:rPr>
        <w:t xml:space="preserve">, en </w:t>
      </w:r>
      <w:proofErr w:type="spellStart"/>
      <w:r w:rsidRPr="00A15686">
        <w:rPr>
          <w:rFonts w:ascii="Times New Roman" w:hAnsi="Times New Roman" w:cs="Times New Roman"/>
        </w:rPr>
        <w:t>düşük</w:t>
      </w:r>
      <w:proofErr w:type="spellEnd"/>
      <w:r w:rsidRPr="00A15686">
        <w:rPr>
          <w:rFonts w:ascii="Times New Roman" w:hAnsi="Times New Roman" w:cs="Times New Roman"/>
        </w:rPr>
        <w:t xml:space="preserve"> madde </w:t>
      </w:r>
      <w:proofErr w:type="spellStart"/>
      <w:r w:rsidRPr="00A15686">
        <w:rPr>
          <w:rFonts w:ascii="Times New Roman" w:hAnsi="Times New Roman" w:cs="Times New Roman"/>
        </w:rPr>
        <w:t>yük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değerinin</w:t>
      </w:r>
      <w:proofErr w:type="spellEnd"/>
      <w:r w:rsidRPr="00A15686">
        <w:rPr>
          <w:rFonts w:ascii="Times New Roman" w:hAnsi="Times New Roman" w:cs="Times New Roman"/>
        </w:rPr>
        <w:t xml:space="preserve"> 3.63 (%41,24) </w:t>
      </w:r>
      <w:proofErr w:type="spellStart"/>
      <w:r w:rsidRPr="00A15686">
        <w:rPr>
          <w:rFonts w:ascii="Times New Roman" w:hAnsi="Times New Roman" w:cs="Times New Roman"/>
        </w:rPr>
        <w:t>olduğu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görülmüştür</w:t>
      </w:r>
      <w:proofErr w:type="spellEnd"/>
      <w:r w:rsidRPr="00A15686">
        <w:rPr>
          <w:rFonts w:ascii="Times New Roman" w:hAnsi="Times New Roman" w:cs="Times New Roman"/>
        </w:rPr>
        <w:t xml:space="preserve">. Bu </w:t>
      </w:r>
      <w:proofErr w:type="spellStart"/>
      <w:r w:rsidRPr="00A15686">
        <w:rPr>
          <w:rFonts w:ascii="Times New Roman" w:hAnsi="Times New Roman" w:cs="Times New Roman"/>
        </w:rPr>
        <w:t>sonuçlar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Varimax</w:t>
      </w:r>
      <w:proofErr w:type="spellEnd"/>
      <w:r w:rsidRPr="00A15686">
        <w:rPr>
          <w:rFonts w:ascii="Times New Roman" w:hAnsi="Times New Roman" w:cs="Times New Roman"/>
        </w:rPr>
        <w:t xml:space="preserve"> Dik </w:t>
      </w:r>
      <w:proofErr w:type="spellStart"/>
      <w:r w:rsidRPr="00A15686">
        <w:rPr>
          <w:rFonts w:ascii="Times New Roman" w:hAnsi="Times New Roman" w:cs="Times New Roman"/>
        </w:rPr>
        <w:t>Döndürme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Tekniği</w:t>
      </w:r>
      <w:proofErr w:type="spellEnd"/>
      <w:r w:rsidRPr="00A15686">
        <w:rPr>
          <w:rFonts w:ascii="Times New Roman" w:hAnsi="Times New Roman" w:cs="Times New Roman"/>
        </w:rPr>
        <w:t xml:space="preserve"> kullanılarak </w:t>
      </w:r>
      <w:proofErr w:type="spellStart"/>
      <w:r w:rsidRPr="00A15686">
        <w:rPr>
          <w:rFonts w:ascii="Times New Roman" w:hAnsi="Times New Roman" w:cs="Times New Roman"/>
        </w:rPr>
        <w:t>incelendiğinde</w:t>
      </w:r>
      <w:proofErr w:type="spellEnd"/>
      <w:r w:rsidRPr="00A15686">
        <w:rPr>
          <w:rFonts w:ascii="Times New Roman" w:hAnsi="Times New Roman" w:cs="Times New Roman"/>
        </w:rPr>
        <w:t xml:space="preserve"> her bir maddenin sadece bir tek </w:t>
      </w:r>
      <w:proofErr w:type="spellStart"/>
      <w:r w:rsidRPr="00A15686">
        <w:rPr>
          <w:rFonts w:ascii="Times New Roman" w:hAnsi="Times New Roman" w:cs="Times New Roman"/>
        </w:rPr>
        <w:t>faktörde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yüksek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değer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verdiği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görülmüştür</w:t>
      </w:r>
      <w:proofErr w:type="spellEnd"/>
      <w:r w:rsidRPr="00A15686">
        <w:rPr>
          <w:rFonts w:ascii="Times New Roman" w:hAnsi="Times New Roman" w:cs="Times New Roman"/>
        </w:rPr>
        <w:t xml:space="preserve">. Bu </w:t>
      </w:r>
      <w:proofErr w:type="spellStart"/>
      <w:r w:rsidRPr="00A15686">
        <w:rPr>
          <w:rFonts w:ascii="Times New Roman" w:hAnsi="Times New Roman" w:cs="Times New Roman"/>
        </w:rPr>
        <w:t>çözümlemede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yük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değerleri</w:t>
      </w:r>
      <w:proofErr w:type="spellEnd"/>
      <w:r w:rsidRPr="00A15686">
        <w:rPr>
          <w:rFonts w:ascii="Times New Roman" w:hAnsi="Times New Roman" w:cs="Times New Roman"/>
        </w:rPr>
        <w:t xml:space="preserve"> .30’dan </w:t>
      </w:r>
      <w:proofErr w:type="spellStart"/>
      <w:r w:rsidRPr="00A15686">
        <w:rPr>
          <w:rFonts w:ascii="Times New Roman" w:hAnsi="Times New Roman" w:cs="Times New Roman"/>
        </w:rPr>
        <w:t>düşük</w:t>
      </w:r>
      <w:proofErr w:type="spellEnd"/>
      <w:r w:rsidRPr="00A15686">
        <w:rPr>
          <w:rFonts w:ascii="Times New Roman" w:hAnsi="Times New Roman" w:cs="Times New Roman"/>
        </w:rPr>
        <w:t xml:space="preserve"> olan (8 madde) maddeler </w:t>
      </w:r>
      <w:proofErr w:type="spellStart"/>
      <w:r w:rsidRPr="00A15686">
        <w:rPr>
          <w:rFonts w:ascii="Times New Roman" w:hAnsi="Times New Roman" w:cs="Times New Roman"/>
        </w:rPr>
        <w:t>ölçekten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çıkartılarak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işlem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tekrarlanmıştır</w:t>
      </w:r>
      <w:proofErr w:type="spellEnd"/>
      <w:r w:rsidRPr="00A15686">
        <w:rPr>
          <w:rFonts w:ascii="Times New Roman" w:hAnsi="Times New Roman" w:cs="Times New Roman"/>
        </w:rPr>
        <w:t xml:space="preserve">. Yapılan analizler sonucunda 47 madde kalmıştır. </w:t>
      </w:r>
      <w:proofErr w:type="spellStart"/>
      <w:r w:rsidRPr="00A15686">
        <w:rPr>
          <w:rFonts w:ascii="Times New Roman" w:hAnsi="Times New Roman" w:cs="Times New Roman"/>
        </w:rPr>
        <w:t>Oluşan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faktörün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açıklanan</w:t>
      </w:r>
      <w:proofErr w:type="spellEnd"/>
      <w:r w:rsidRPr="00A15686">
        <w:rPr>
          <w:rFonts w:ascii="Times New Roman" w:hAnsi="Times New Roman" w:cs="Times New Roman"/>
        </w:rPr>
        <w:t xml:space="preserve"> toplam </w:t>
      </w:r>
      <w:proofErr w:type="spellStart"/>
      <w:r w:rsidRPr="00A15686">
        <w:rPr>
          <w:rFonts w:ascii="Times New Roman" w:hAnsi="Times New Roman" w:cs="Times New Roman"/>
        </w:rPr>
        <w:t>varyans</w:t>
      </w:r>
      <w:proofErr w:type="spellEnd"/>
      <w:r w:rsidRPr="00A15686">
        <w:rPr>
          <w:rFonts w:ascii="Times New Roman" w:hAnsi="Times New Roman" w:cs="Times New Roman"/>
        </w:rPr>
        <w:t xml:space="preserve"> miktarı %41,24’tür. </w:t>
      </w:r>
      <w:proofErr w:type="spellStart"/>
      <w:r w:rsidRPr="00A15686">
        <w:rPr>
          <w:rFonts w:ascii="Times New Roman" w:hAnsi="Times New Roman" w:cs="Times New Roman"/>
        </w:rPr>
        <w:t>Faktörlerin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açıkladıkları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varyans</w:t>
      </w:r>
      <w:proofErr w:type="spellEnd"/>
      <w:r w:rsidRPr="00A15686">
        <w:rPr>
          <w:rFonts w:ascii="Times New Roman" w:hAnsi="Times New Roman" w:cs="Times New Roman"/>
        </w:rPr>
        <w:t xml:space="preserve"> miktarları sırasıyla birinci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için</w:t>
      </w:r>
      <w:proofErr w:type="spellEnd"/>
      <w:r w:rsidRPr="00A15686">
        <w:rPr>
          <w:rFonts w:ascii="Times New Roman" w:hAnsi="Times New Roman" w:cs="Times New Roman"/>
        </w:rPr>
        <w:t xml:space="preserve"> %11,64, ikinci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için</w:t>
      </w:r>
      <w:proofErr w:type="spellEnd"/>
      <w:r w:rsidRPr="00A15686">
        <w:rPr>
          <w:rFonts w:ascii="Times New Roman" w:hAnsi="Times New Roman" w:cs="Times New Roman"/>
        </w:rPr>
        <w:t xml:space="preserve"> %9,81, </w:t>
      </w:r>
      <w:proofErr w:type="spellStart"/>
      <w:r w:rsidRPr="00A15686">
        <w:rPr>
          <w:rFonts w:ascii="Times New Roman" w:hAnsi="Times New Roman" w:cs="Times New Roman"/>
        </w:rPr>
        <w:t>üçüncu</w:t>
      </w:r>
      <w:proofErr w:type="spellEnd"/>
      <w:r w:rsidRPr="00A15686">
        <w:rPr>
          <w:rFonts w:ascii="Times New Roman" w:hAnsi="Times New Roman" w:cs="Times New Roman"/>
        </w:rPr>
        <w:t xml:space="preserve">̈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için</w:t>
      </w:r>
      <w:proofErr w:type="spellEnd"/>
      <w:r w:rsidRPr="00A15686">
        <w:rPr>
          <w:rFonts w:ascii="Times New Roman" w:hAnsi="Times New Roman" w:cs="Times New Roman"/>
        </w:rPr>
        <w:t xml:space="preserve"> %7,99, </w:t>
      </w:r>
      <w:proofErr w:type="spellStart"/>
      <w:r w:rsidRPr="00A15686">
        <w:rPr>
          <w:rFonts w:ascii="Times New Roman" w:hAnsi="Times New Roman" w:cs="Times New Roman"/>
        </w:rPr>
        <w:t>dördüncu</w:t>
      </w:r>
      <w:proofErr w:type="spellEnd"/>
      <w:r w:rsidRPr="00A15686">
        <w:rPr>
          <w:rFonts w:ascii="Times New Roman" w:hAnsi="Times New Roman" w:cs="Times New Roman"/>
        </w:rPr>
        <w:t xml:space="preserve">̈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için</w:t>
      </w:r>
      <w:proofErr w:type="spellEnd"/>
      <w:r w:rsidRPr="00A15686">
        <w:rPr>
          <w:rFonts w:ascii="Times New Roman" w:hAnsi="Times New Roman" w:cs="Times New Roman"/>
        </w:rPr>
        <w:t xml:space="preserve"> %6,86 ve </w:t>
      </w:r>
      <w:proofErr w:type="spellStart"/>
      <w:r w:rsidRPr="00A15686">
        <w:rPr>
          <w:rFonts w:ascii="Times New Roman" w:hAnsi="Times New Roman" w:cs="Times New Roman"/>
        </w:rPr>
        <w:t>beşinci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faktör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için</w:t>
      </w:r>
      <w:proofErr w:type="spellEnd"/>
      <w:r w:rsidRPr="00A15686">
        <w:rPr>
          <w:rFonts w:ascii="Times New Roman" w:hAnsi="Times New Roman" w:cs="Times New Roman"/>
        </w:rPr>
        <w:t xml:space="preserve"> %4,93 olarak </w:t>
      </w:r>
      <w:proofErr w:type="spellStart"/>
      <w:r w:rsidRPr="00A15686">
        <w:rPr>
          <w:rFonts w:ascii="Times New Roman" w:hAnsi="Times New Roman" w:cs="Times New Roman"/>
        </w:rPr>
        <w:t>belirlenmiştir</w:t>
      </w:r>
      <w:proofErr w:type="spellEnd"/>
      <w:r w:rsidRPr="00A15686">
        <w:rPr>
          <w:rFonts w:ascii="Times New Roman" w:hAnsi="Times New Roman" w:cs="Times New Roman"/>
        </w:rPr>
        <w:t xml:space="preserve">. </w:t>
      </w:r>
    </w:p>
    <w:p w:rsidR="00A15686" w:rsidRPr="00A15686" w:rsidRDefault="00A15686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85464">
        <w:rPr>
          <w:rFonts w:ascii="Times New Roman" w:hAnsi="Times New Roman" w:cs="Times New Roman"/>
          <w:b/>
        </w:rPr>
        <w:t>Güvenirlik:</w:t>
      </w:r>
      <w:r w:rsidRPr="00485464">
        <w:rPr>
          <w:rFonts w:ascii="Times New Roman" w:hAnsi="Times New Roman" w:cs="Times New Roman"/>
        </w:rPr>
        <w:t xml:space="preserve"> </w:t>
      </w:r>
      <w:proofErr w:type="spellStart"/>
      <w:r w:rsidR="00485464" w:rsidRPr="00485464">
        <w:rPr>
          <w:rFonts w:ascii="Times New Roman" w:hAnsi="Times New Roman" w:cs="Times New Roman"/>
        </w:rPr>
        <w:t>Ölçeğin</w:t>
      </w:r>
      <w:proofErr w:type="spellEnd"/>
      <w:r w:rsidR="00485464" w:rsidRPr="00485464">
        <w:rPr>
          <w:rFonts w:ascii="Times New Roman" w:hAnsi="Times New Roman" w:cs="Times New Roman"/>
        </w:rPr>
        <w:t xml:space="preserve"> toplam </w:t>
      </w:r>
      <w:proofErr w:type="spellStart"/>
      <w:r w:rsidR="00485464" w:rsidRPr="00485464">
        <w:rPr>
          <w:rFonts w:ascii="Times New Roman" w:hAnsi="Times New Roman" w:cs="Times New Roman"/>
        </w:rPr>
        <w:t>güvenirlik</w:t>
      </w:r>
      <w:proofErr w:type="spellEnd"/>
      <w:r w:rsidR="00485464" w:rsidRPr="00485464">
        <w:rPr>
          <w:rFonts w:ascii="Times New Roman" w:hAnsi="Times New Roman" w:cs="Times New Roman"/>
        </w:rPr>
        <w:t xml:space="preserve"> </w:t>
      </w:r>
      <w:proofErr w:type="spellStart"/>
      <w:r w:rsidR="00485464" w:rsidRPr="00485464">
        <w:rPr>
          <w:rFonts w:ascii="Times New Roman" w:hAnsi="Times New Roman" w:cs="Times New Roman"/>
        </w:rPr>
        <w:t>değerinin</w:t>
      </w:r>
      <w:proofErr w:type="spellEnd"/>
      <w:r w:rsidR="00485464" w:rsidRPr="00485464">
        <w:rPr>
          <w:rFonts w:ascii="Times New Roman" w:hAnsi="Times New Roman" w:cs="Times New Roman"/>
        </w:rPr>
        <w:t xml:space="preserve"> hesaplanmasında kullanılan </w:t>
      </w:r>
      <w:proofErr w:type="spellStart"/>
      <w:r w:rsidR="00485464" w:rsidRPr="00485464">
        <w:rPr>
          <w:rFonts w:ascii="Times New Roman" w:hAnsi="Times New Roman" w:cs="Times New Roman"/>
        </w:rPr>
        <w:t>Cronbach</w:t>
      </w:r>
      <w:proofErr w:type="spellEnd"/>
      <w:r w:rsidR="00485464" w:rsidRPr="00485464">
        <w:rPr>
          <w:rFonts w:ascii="Times New Roman" w:hAnsi="Times New Roman" w:cs="Times New Roman"/>
        </w:rPr>
        <w:t xml:space="preserve"> </w:t>
      </w:r>
      <w:proofErr w:type="spellStart"/>
      <w:r w:rsidR="00485464" w:rsidRPr="00485464">
        <w:rPr>
          <w:rFonts w:ascii="Times New Roman" w:hAnsi="Times New Roman" w:cs="Times New Roman"/>
        </w:rPr>
        <w:t>alpha</w:t>
      </w:r>
      <w:proofErr w:type="spellEnd"/>
      <w:r w:rsidR="00485464" w:rsidRPr="00485464">
        <w:rPr>
          <w:rFonts w:ascii="Times New Roman" w:hAnsi="Times New Roman" w:cs="Times New Roman"/>
        </w:rPr>
        <w:t xml:space="preserve"> </w:t>
      </w:r>
      <w:proofErr w:type="spellStart"/>
      <w:r w:rsidR="00485464" w:rsidRPr="00485464">
        <w:rPr>
          <w:rFonts w:ascii="Times New Roman" w:hAnsi="Times New Roman" w:cs="Times New Roman"/>
        </w:rPr>
        <w:t>değeri</w:t>
      </w:r>
      <w:proofErr w:type="spellEnd"/>
      <w:r w:rsidR="00485464">
        <w:rPr>
          <w:rFonts w:ascii="Times New Roman" w:hAnsi="Times New Roman" w:cs="Times New Roman"/>
        </w:rPr>
        <w:t xml:space="preserve"> </w:t>
      </w:r>
      <w:r w:rsidR="00485464" w:rsidRPr="00485464">
        <w:rPr>
          <w:rFonts w:ascii="Times New Roman" w:hAnsi="Times New Roman" w:cs="Times New Roman"/>
        </w:rPr>
        <w:t xml:space="preserve">.63’dür. Alt boyutların </w:t>
      </w:r>
      <w:proofErr w:type="spellStart"/>
      <w:r w:rsidR="00485464" w:rsidRPr="00485464">
        <w:rPr>
          <w:rFonts w:ascii="Times New Roman" w:hAnsi="Times New Roman" w:cs="Times New Roman"/>
        </w:rPr>
        <w:t>değerleri</w:t>
      </w:r>
      <w:proofErr w:type="spellEnd"/>
      <w:r w:rsidR="00485464" w:rsidRPr="00485464">
        <w:rPr>
          <w:rFonts w:ascii="Times New Roman" w:hAnsi="Times New Roman" w:cs="Times New Roman"/>
        </w:rPr>
        <w:t xml:space="preserve"> ise .60 ile .71 arasında </w:t>
      </w:r>
      <w:proofErr w:type="spellStart"/>
      <w:r w:rsidR="00485464" w:rsidRPr="00485464">
        <w:rPr>
          <w:rFonts w:ascii="Times New Roman" w:hAnsi="Times New Roman" w:cs="Times New Roman"/>
        </w:rPr>
        <w:t>de</w:t>
      </w:r>
      <w:r w:rsidR="00485464">
        <w:rPr>
          <w:rFonts w:ascii="Times New Roman" w:hAnsi="Times New Roman" w:cs="Times New Roman"/>
        </w:rPr>
        <w:t>ğ</w:t>
      </w:r>
      <w:r w:rsidR="00485464" w:rsidRPr="00485464">
        <w:rPr>
          <w:rFonts w:ascii="Times New Roman" w:hAnsi="Times New Roman" w:cs="Times New Roman"/>
        </w:rPr>
        <w:t>işmektedir</w:t>
      </w:r>
      <w:proofErr w:type="spellEnd"/>
      <w:r w:rsidR="00485464" w:rsidRPr="00485464">
        <w:rPr>
          <w:rFonts w:ascii="Times New Roman" w:hAnsi="Times New Roman" w:cs="Times New Roman"/>
        </w:rPr>
        <w:t>.</w:t>
      </w:r>
    </w:p>
    <w:p w:rsidR="0090725E" w:rsidRPr="00A15686" w:rsidRDefault="0090725E" w:rsidP="00A15686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90725E" w:rsidRPr="0090725E" w:rsidRDefault="0090725E" w:rsidP="0090725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adresi: </w:t>
      </w:r>
      <w:hyperlink r:id="rId5" w:history="1">
        <w:r w:rsidRPr="004A57C5">
          <w:rPr>
            <w:rStyle w:val="Kpr"/>
            <w:rFonts w:ascii="Times New Roman" w:hAnsi="Times New Roman" w:cs="Times New Roman"/>
          </w:rPr>
          <w:t>h.eksi70@gmail.com</w:t>
        </w:r>
      </w:hyperlink>
    </w:p>
    <w:p w:rsidR="0090725E" w:rsidRPr="007F05F3" w:rsidRDefault="0090725E" w:rsidP="007F05F3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065A9" w:rsidRPr="009C7CE9" w:rsidRDefault="00A065A9" w:rsidP="009C7CE9">
      <w:pPr>
        <w:spacing w:before="120" w:after="120" w:line="360" w:lineRule="auto"/>
        <w:rPr>
          <w:rFonts w:ascii="Times New Roman" w:hAnsi="Times New Roman" w:cs="Times New Roman"/>
        </w:rPr>
      </w:pPr>
    </w:p>
    <w:sectPr w:rsidR="00A065A9" w:rsidRPr="009C7CE9" w:rsidSect="00F504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C2D"/>
    <w:multiLevelType w:val="hybridMultilevel"/>
    <w:tmpl w:val="344A6E3C"/>
    <w:lvl w:ilvl="0" w:tplc="9348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22C3"/>
    <w:multiLevelType w:val="hybridMultilevel"/>
    <w:tmpl w:val="2A789ECC"/>
    <w:lvl w:ilvl="0" w:tplc="220CA02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9"/>
    <w:rsid w:val="000173A8"/>
    <w:rsid w:val="001E48CE"/>
    <w:rsid w:val="002A7848"/>
    <w:rsid w:val="00333F9D"/>
    <w:rsid w:val="00485464"/>
    <w:rsid w:val="00630819"/>
    <w:rsid w:val="00633D00"/>
    <w:rsid w:val="00643C2F"/>
    <w:rsid w:val="00701617"/>
    <w:rsid w:val="007F05F3"/>
    <w:rsid w:val="0088652E"/>
    <w:rsid w:val="0090725E"/>
    <w:rsid w:val="009C7CE9"/>
    <w:rsid w:val="00A065A9"/>
    <w:rsid w:val="00A15686"/>
    <w:rsid w:val="00C3277E"/>
    <w:rsid w:val="00CE19FC"/>
    <w:rsid w:val="00DA02AB"/>
    <w:rsid w:val="00E82E1F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ADF"/>
  <w15:chartTrackingRefBased/>
  <w15:docId w15:val="{EABFC00B-0EEF-9F4C-91BD-DDF3AAB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CE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DA02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725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eksi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2019-12-21T19:11:00Z</dcterms:created>
  <dcterms:modified xsi:type="dcterms:W3CDTF">2019-12-21T19:11:00Z</dcterms:modified>
</cp:coreProperties>
</file>