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83" w:rsidRPr="007E67C9" w:rsidRDefault="00724DEE" w:rsidP="009B4633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22F88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Değerli</w:t>
      </w:r>
      <w:r w:rsidR="008C691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 xml:space="preserve"> katılımcı;</w:t>
      </w:r>
      <w:r w:rsidR="00F77083" w:rsidRPr="007E67C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:rsidR="005A1C0A" w:rsidRPr="007E67C9" w:rsidRDefault="005D7792" w:rsidP="008C691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Bu ölçek, </w:t>
      </w:r>
      <w:r w:rsid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açık ve uzaktan eğitim kurumunun akreditasyon yeterlilik</w:t>
      </w:r>
      <w:r w:rsidRPr="007E67C9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P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düzeyini </w:t>
      </w:r>
      <w:r w:rsidR="00724DEE" w:rsidRP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belirlemek</w:t>
      </w:r>
      <w:r w:rsidR="00724DEE" w:rsidRPr="007E67C9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="00724DEE"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amacıyla hazırlanmıştır. Araştırmanın geçerliliği ve güvenirliği açısından lütfen bütün soruları okuyarak cevaplayınız. Size göre en uygun seçeneği çarpı (X</w:t>
      </w:r>
      <w:r w:rsidR="00853074"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 işareti ile belirtiniz. Ölçeğe</w:t>
      </w:r>
      <w:r w:rsidR="00724DEE"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kimlik bilgilerinizi yazmanıza gerek yoktur.</w:t>
      </w:r>
      <w:r w:rsidR="00566E53"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Gösterdiğiniz ilgi ve emeğin</w:t>
      </w:r>
      <w:r w:rsidR="00853074"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iz için şimdiden teşekkür ederim</w:t>
      </w:r>
      <w:r w:rsidR="00566E53"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E67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9B46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</w:t>
      </w:r>
      <w:r w:rsid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8C69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9B46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5A1C0A" w:rsidRPr="007E67C9" w:rsidRDefault="005A1C0A" w:rsidP="00E976E8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7E67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  <w:t xml:space="preserve">   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7087"/>
      </w:tblGrid>
      <w:tr w:rsidR="00724DEE" w:rsidRPr="007E67C9" w:rsidTr="00975171">
        <w:trPr>
          <w:trHeight w:val="12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B" w:rsidRDefault="00C00FAB" w:rsidP="007C2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724DEE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Cinsiyetiniz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  <w:r w:rsidR="00724DEE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24DEE" w:rsidRPr="00C00FAB" w:rsidRDefault="00C00FAB" w:rsidP="007C2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1.(  ) Kadın            </w:t>
            </w:r>
            <w:r w:rsidR="00724DEE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2.(  ) Erkek</w:t>
            </w:r>
          </w:p>
          <w:p w:rsidR="00724DEE" w:rsidRPr="004703E9" w:rsidRDefault="00C00FAB" w:rsidP="007C2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Fakülteniz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B662F5" w:rsidRPr="007E67C9" w:rsidRDefault="00B662F5" w:rsidP="007C24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( )</w:t>
            </w: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2. 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İktisat ( )</w:t>
            </w: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3. </w:t>
            </w:r>
            <w:proofErr w:type="spellStart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Açıköğretim</w:t>
            </w:r>
            <w:proofErr w:type="spellEnd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</w:t>
            </w:r>
            <w:r w:rsidR="00ED5FC9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66E53" w:rsidRPr="007E67C9" w:rsidRDefault="00C00FAB" w:rsidP="007C24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="00566E53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Sınıfınız:</w:t>
            </w:r>
            <w:r w:rsidR="00B662F5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6E53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662F5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662F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66E53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662F5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662F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66E53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662F5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662F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566E53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B662F5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662F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6E53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24DEE" w:rsidRPr="007E67C9" w:rsidRDefault="00C00FAB" w:rsidP="007C24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Bir İ</w:t>
            </w:r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şte Çalışıyor musunuz?</w:t>
            </w:r>
            <w:r w:rsidR="00787F16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787F16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E" w:rsidRPr="007E67C9" w:rsidRDefault="00C00FAB" w:rsidP="00546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Açık ve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</w:t>
            </w:r>
            <w:r w:rsidR="00724DEE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</w:t>
            </w:r>
            <w:r w:rsidR="007C249D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aktan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</w:t>
            </w:r>
            <w:r w:rsidR="007C249D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ğitim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  <w:r w:rsidR="00546636" w:rsidRPr="004703E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rogramınız:</w:t>
            </w:r>
            <w:r w:rsidR="00546636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)Lisans</w:t>
            </w:r>
            <w:proofErr w:type="gramEnd"/>
            <w:r w:rsidR="003053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663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6636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63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)</w:t>
            </w:r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Önlisans</w:t>
            </w:r>
            <w:proofErr w:type="spellEnd"/>
            <w:r w:rsidR="00787F16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53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5389" w:rsidRPr="003053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053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.Diğer:</w:t>
            </w:r>
          </w:p>
          <w:p w:rsidR="00523B95" w:rsidRPr="00C00FAB" w:rsidRDefault="00C00FAB" w:rsidP="00B04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Açık ve u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zaktan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ğitimde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n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ık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k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ullandığınız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ilgi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k</w:t>
            </w:r>
            <w:r w:rsidR="009B4ECD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aynağı:</w:t>
            </w:r>
          </w:p>
          <w:p w:rsidR="009B4ECD" w:rsidRPr="007E67C9" w:rsidRDefault="009B4ECD" w:rsidP="00B047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ED5FC9"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Yüzyüze Görüşme </w:t>
            </w:r>
            <w:proofErr w:type="gramStart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D5FC9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523B9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ternet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23B9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  </w:t>
            </w: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Ders Kitabı ( )   </w:t>
            </w: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.Telefon ( ) </w:t>
            </w: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523B9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.Diğer……...</w:t>
            </w:r>
          </w:p>
          <w:p w:rsidR="00B04782" w:rsidRPr="00C00FAB" w:rsidRDefault="00C00FAB" w:rsidP="00B04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00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Açık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ve uzaktan </w:t>
            </w:r>
            <w:proofErr w:type="gramStart"/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eğitim </w:t>
            </w:r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h</w:t>
            </w:r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izmetlerini</w:t>
            </w:r>
            <w:proofErr w:type="gramEnd"/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y</w:t>
            </w:r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eterli </w:t>
            </w:r>
            <w:r w:rsidR="0030538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</w:t>
            </w:r>
            <w:r w:rsidR="00787F16" w:rsidRPr="00C00F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uluyor musunuz?</w:t>
            </w:r>
          </w:p>
          <w:p w:rsidR="00724DEE" w:rsidRPr="007E67C9" w:rsidRDefault="005A58EE" w:rsidP="00787F16">
            <w:pPr>
              <w:tabs>
                <w:tab w:val="left" w:pos="5750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1.( )</w:t>
            </w:r>
            <w:proofErr w:type="gramEnd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Yeterli Buluyorum</w:t>
            </w:r>
            <w:r w:rsidR="00523B9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2.( )Yeterli </w:t>
            </w:r>
            <w:r w:rsidR="00523B95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Bulmuyorum         3.( )Kısmen Yeterli</w:t>
            </w:r>
            <w:r w:rsidR="00DD4A22"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853074" w:rsidRPr="007E67C9" w:rsidRDefault="00853074" w:rsidP="00853074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5"/>
        <w:gridCol w:w="604"/>
        <w:gridCol w:w="397"/>
        <w:gridCol w:w="397"/>
        <w:gridCol w:w="397"/>
        <w:gridCol w:w="479"/>
      </w:tblGrid>
      <w:tr w:rsidR="00853074" w:rsidRPr="007E67C9" w:rsidTr="00787F16">
        <w:trPr>
          <w:cantSplit/>
          <w:trHeight w:val="1349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8C6911" w:rsidRDefault="008C6911" w:rsidP="00787F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Açık ve Uzaktan Eğitim Kurumunun Hizmetlerinin Sunumunda</w:t>
            </w:r>
            <w:r w:rsidR="00BA6AEE" w:rsidRPr="007E67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);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Hiç  Katılmıyorum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Katılmıyorum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Kararsızım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Katılıyorum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Tamamen Katılıyorum</w:t>
            </w:r>
          </w:p>
        </w:tc>
      </w:tr>
      <w:tr w:rsidR="00853074" w:rsidRPr="007E67C9" w:rsidTr="00787F16">
        <w:trPr>
          <w:cantSplit/>
          <w:trHeight w:val="279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7E67C9" w:rsidRDefault="00853074" w:rsidP="00787F1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5</w:t>
            </w:r>
          </w:p>
        </w:tc>
      </w:tr>
      <w:tr w:rsidR="00853074" w:rsidRPr="007E67C9" w:rsidTr="00787F16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7E67C9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</w:t>
            </w:r>
            <w:r w:rsidR="00853074"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ğitim kurumu</w:t>
            </w:r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853074"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öğrencilerin</w:t>
            </w:r>
            <w:r w:rsidR="00853074"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kurumun</w:t>
            </w:r>
            <w:proofErr w:type="gramEnd"/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felsefesini anlamalarına  yardımcı olmaktadır.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7E67C9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</w:t>
            </w:r>
            <w:r w:rsidR="00853074"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ğitim kurumu</w:t>
            </w:r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r w:rsidR="00853074"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öğrencilerin ailelerinin</w:t>
            </w:r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kurumun felsefesini anlamalarını sağlayacak önlemleri almaktadır.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Uzaktan </w:t>
            </w:r>
            <w:r w:rsidR="007E67C9"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e</w:t>
            </w: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öğrencilerin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kurumun felsefesine uygun davranmaları için gerekli çalışmaları yapmaktadır.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7E67C9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</w:t>
            </w:r>
            <w:r w:rsidR="00853074"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ğitim kurumu</w:t>
            </w:r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r w:rsidR="00853074"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öğrencilerin ailelerinin</w:t>
            </w:r>
            <w:r w:rsidR="00853074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kurumun felsefesini desteklemelerini sağlayacak önlemleri almaktadır.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6E369D" w:rsidRDefault="00853074" w:rsidP="00787F16">
            <w:pPr>
              <w:tabs>
                <w:tab w:val="left" w:pos="285"/>
                <w:tab w:val="center" w:pos="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kurumunun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felsefesi, 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internet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sitesinde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açıkça belirtilmiştir.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kurumunun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felsefesi,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tanıtım kitapçıklarında ve kılavuzlarında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açıkça belirtilmiştir.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Uzaktan eğitim kurumunun</w:t>
            </w:r>
            <w:r w:rsidRPr="007E67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ücretlendirme(öğrenci harcı vb.) politikaları</w:t>
            </w:r>
            <w:r w:rsidRPr="007E67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adil ve yazılı olarak ifade edilmektedir.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Uzaktan eğitim kurumunun</w:t>
            </w:r>
            <w:r w:rsidRPr="007E67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ücret toplama </w:t>
            </w:r>
            <w:proofErr w:type="gramStart"/>
            <w:r w:rsidRPr="007E67C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politikaları</w:t>
            </w:r>
            <w:r w:rsidRPr="007E67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adil</w:t>
            </w:r>
            <w:proofErr w:type="gramEnd"/>
            <w:r w:rsidRPr="007E67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ve yazılı olarak ifade edilmektedir.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Uzaktan eğitimde 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idari personel</w:t>
            </w:r>
            <w:r w:rsidRPr="007E67C9">
              <w:rPr>
                <w:rFonts w:eastAsiaTheme="minorEastAsia"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tüm eğitim programının gereksinimlerini karşılayabilecek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Uzaktan eğitimde 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idari personel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öğrenci hizmetlerinin gereksinimlerini karşılayabilecek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Uzaktan eğitimde 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eğitim personeli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öğrenci hizmetlerinin gereksinimlerini karşılayabilecek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Uzaktan eğitimde 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görevli</w:t>
            </w:r>
            <w:r w:rsidRPr="007E67C9">
              <w:rPr>
                <w:rFonts w:eastAsiaTheme="minorEastAs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eğitim personeli</w:t>
            </w:r>
            <w:r w:rsidRPr="007E67C9">
              <w:rPr>
                <w:rFonts w:eastAsiaTheme="minorEastAsia"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tüm eğitim programının gereksinimlerini karşılayabilecek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destek personeli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tüm eğitim programının gereksinimlerini karşılayabilecek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destek personeli</w:t>
            </w:r>
            <w:r w:rsidRPr="007E67C9">
              <w:rPr>
                <w:rFonts w:eastAsiaTheme="minorEastAsia"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öğrenci hizmetlerinin gereksinimlerini karşılayabilecek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idari personel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, öğrenci gereksinimlerini karşılamada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sayısal olarak yeterlidir.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eğitim personeli</w:t>
            </w: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tüm eğitim programının gereksinimlerini karşılayabilecek sayısal yeterliliktedir.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destek personeli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, tüm eğitim programının gereksinimlerini karşılayabilecek sayısal yeterliliktedir.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görevli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yöneticile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r,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uzaktan eğitim alanında tecrübeli ve uzman kişilerdir.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uygulamalarında 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personel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tecrübe ve uzmanlıklarına göre görevlendirilmektedir.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Uzaktan </w:t>
            </w:r>
            <w:proofErr w:type="gramStart"/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yöneticilerin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görevlendirilmesinde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kurumun başarısına bağlılıkları dikkate alınmaktadır.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personel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kurumun başarısına bağlılıklarına göre görevlendirilmektedir.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uygun nitelikte personel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eğitim programları konusunda öğrencilere </w:t>
            </w: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  <w:t>telefonla</w:t>
            </w: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yeterli  danışmanlıkta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bulunmaktadır.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uygun nitelikte personel,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eğitim programları konusunda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öğrencilere  </w:t>
            </w: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  <w:t>yüz</w:t>
            </w:r>
            <w:proofErr w:type="gramEnd"/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  <w:t xml:space="preserve"> yüze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yeterli akademik danışmanlık yapmaktadırlar.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E" w:rsidRDefault="00924B1E" w:rsidP="00787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6E369D" w:rsidRDefault="00853074" w:rsidP="00787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E" w:rsidRDefault="00924B1E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853074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uygulamalarında,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öğrencilerin, öğretmenler ve diğer öğrencilerle (eş zamanlı ve eş zamanlı olmayan)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etkileşimi,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değişik araçlar ve yöntemlerle gerçekleştirilmektedir.</w:t>
            </w:r>
          </w:p>
          <w:p w:rsidR="00446E0F" w:rsidRDefault="00446E0F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6911" w:rsidRPr="007E67C9" w:rsidRDefault="008C6911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E97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öğrenciler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eğitim programının tüm boyutları konusunda etkili olarak bilgilendirilmektedir.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523B95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523B95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523B95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523B95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4</w:t>
            </w: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523B95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5</w:t>
            </w: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u w:val="single"/>
              </w:rPr>
              <w:t>öğrencilerin aileleri/velileri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eğitim programının tüm boyutları konusunda etkili olarak   bilgilendirilmektedir.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uygulamalarında 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öğrencilerin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 başarıları (performans çıktıları)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uzaktan eğitim yöntemleri  ile elde edilebilir niteliktedir.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öğrencilerin  başarısını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ölçme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, objektif yöntemlerle gerçekleştirilmektedir.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6E369D" w:rsidRDefault="00853074" w:rsidP="00787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uygulamalarında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öğrencilerin  başarısını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 değerlendirme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, objektif kriterlere göre gerçekleştirilmektedir.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öğrenci başarısını değerlendirme çalışmalarında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nitelikli personel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çalışmaktadır.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Öğrencilerin </w:t>
            </w: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yöntemlerini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etkili bir şekilde kullanmaları için gerekli “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uzaktan eğitim ortamları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” eğitim-öğretim sürecinin önemli bir parçasını oluşturmaktadır.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öğrencilerin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program gereksinimlerini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karşılayabilecek yazılı politika ve süreçleri etkili olarak uygulamaktadır.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gerektiğinde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öğrencinin kimliğinin güvence altına alınmasını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sağlayacak yazılı politika ve süreçleri uygulamaktadır.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programına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kabul öncesinde öğrenciler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, uzaktan eğitimden gerekli faydayı sağlamak için ihtiyaç duyulan teknik yeterlilik konusunda bilgilendirilmektedir.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öğrenci kabulü ile ilgili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müracaatlar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anında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ve kapsamlı olarak ele alınmaktadır.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çalışmalarda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güçlük çeken öğrencilere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yeterli danışmanlık hizmeti sağlamaktadır.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çalışmalarda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hızlı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öğrenen  öğrencilere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yeterli danışmanlık hizmeti sağlamaktadır.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Öğrenciler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kayıt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oldukları 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programa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başlamaları, devam etmeleri ve bitirmeleri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için aktif olarak teşvik edilmektedir.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öğrencilerin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geçmiş akademik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çalışmalarını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değerlendirmek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için yazılı politika ve süreçler uygulamaktadır.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87F16">
            <w:pPr>
              <w:pStyle w:val="ListeParagraf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öğrencilerin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geçmiş çalışmalarını ya da iş tecrübelerini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adil bir şekilde kredilendirmek için yazılı politika ve süreçler uygulamaktadır.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pStyle w:val="ListeParagraf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programları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,</w:t>
            </w:r>
            <w:r w:rsidR="00523B95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23B95"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uluslar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arası 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akademik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/bilimsel kuruluşlar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tarafından  tanınmaktadır.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pStyle w:val="ListeParagraf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derecesi/diploması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uluslararası  akademik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alanda kabul görmektedir.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pStyle w:val="ListeParagraf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alınan derslerin 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uluslararası  akademik</w:t>
            </w:r>
            <w:proofErr w:type="gramEnd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 xml:space="preserve"> alanda  transferi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yapılabilmektedir.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7E67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Uzaktan eğitim kurumu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uluslararası </w:t>
            </w:r>
            <w:r w:rsidRPr="007E67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akademik/bilimsel kuruluşlar</w:t>
            </w: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tarafından  tanınmaktadır</w:t>
            </w:r>
            <w:proofErr w:type="gramEnd"/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pStyle w:val="ListeParagraf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programları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düzenli olarak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geliştirilmekte/güncellenmektedir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pStyle w:val="ListeParagraf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 kurumları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arasında 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öğrenci hareketliliği/</w:t>
            </w:r>
            <w:proofErr w:type="gramStart"/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değişimi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gerçekleştirilebilmektedir</w:t>
            </w:r>
            <w:proofErr w:type="gramEnd"/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853074" w:rsidRPr="007E67C9" w:rsidTr="00787F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6E369D" w:rsidRDefault="00853074" w:rsidP="0078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6E369D">
            <w:pPr>
              <w:pStyle w:val="ListeParagraf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E67C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Uzaktan eğitimde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“</w:t>
            </w:r>
            <w:r w:rsidRPr="007E67C9"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  <w:t>uzaktan eğitim yönetimi”</w:t>
            </w:r>
            <w:r w:rsidRPr="007E67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daha kaliteli bir eğitim hizmeti için çaba göstermektedir.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74" w:rsidRPr="007E67C9" w:rsidRDefault="00853074" w:rsidP="007E6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</w:p>
        </w:tc>
      </w:tr>
    </w:tbl>
    <w:p w:rsidR="008C6911" w:rsidRDefault="008C6911" w:rsidP="008C69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C6911" w:rsidRPr="008C6911" w:rsidRDefault="008C6911" w:rsidP="008C69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Kaynaklar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C6911" w:rsidRPr="008C6911" w:rsidRDefault="008C6911" w:rsidP="008C6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6911">
        <w:rPr>
          <w:rFonts w:ascii="Times New Roman" w:hAnsi="Times New Roman" w:cs="Times New Roman"/>
          <w:color w:val="000000" w:themeColor="text1"/>
        </w:rPr>
        <w:t xml:space="preserve">Can, E. (2012).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Review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qualification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level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accreditation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open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distance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education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Unpublished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Doctoral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Dissertation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. Marmara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University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Educational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Sciences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Institute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>, İstanbul.</w:t>
      </w:r>
    </w:p>
    <w:p w:rsidR="008C6911" w:rsidRDefault="008C6911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6911">
        <w:rPr>
          <w:rFonts w:ascii="Times New Roman" w:hAnsi="Times New Roman" w:cs="Times New Roman"/>
          <w:color w:val="000000" w:themeColor="text1"/>
        </w:rPr>
        <w:t xml:space="preserve">Can, E. (2016). Open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distance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education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accreditation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standards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scale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validity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reliability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studies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. International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Journal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Environmental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6911">
        <w:rPr>
          <w:rFonts w:ascii="Times New Roman" w:hAnsi="Times New Roman" w:cs="Times New Roman"/>
          <w:color w:val="000000" w:themeColor="text1"/>
        </w:rPr>
        <w:t>Education</w:t>
      </w:r>
      <w:proofErr w:type="spellEnd"/>
      <w:r w:rsidRPr="008C6911">
        <w:rPr>
          <w:rFonts w:ascii="Times New Roman" w:hAnsi="Times New Roman" w:cs="Times New Roman"/>
          <w:color w:val="000000" w:themeColor="text1"/>
        </w:rPr>
        <w:t>, 11(14), p 6344-6356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C6911" w:rsidRP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37CD4">
        <w:rPr>
          <w:rFonts w:ascii="Times New Roman" w:hAnsi="Times New Roman" w:cs="Times New Roman"/>
          <w:b/>
          <w:color w:val="000000" w:themeColor="text1"/>
        </w:rPr>
        <w:t>Puanlama Yönergesi:</w:t>
      </w:r>
    </w:p>
    <w:p w:rsidR="00537CD4" w:rsidRDefault="0026300B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300B">
        <w:rPr>
          <w:rFonts w:ascii="Times New Roman" w:hAnsi="Times New Roman" w:cs="Times New Roman"/>
          <w:b/>
          <w:color w:val="000000" w:themeColor="text1"/>
        </w:rPr>
        <w:t>Alt boyut ve madde sayısı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537CD4">
        <w:rPr>
          <w:rFonts w:ascii="Times New Roman" w:hAnsi="Times New Roman" w:cs="Times New Roman"/>
          <w:color w:val="000000" w:themeColor="text1"/>
        </w:rPr>
        <w:t>Ölçek 8 alt boyut ve 47 maddeden oluşmaktadır.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1.Açık ve uzaktan eğitimin misyonu: 4 madde (1., 2.,3, 4.)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2.Açık ve uzaktan eğitimde şeffaflık/açıklık: 4 madde (5., 6., 7., 8.)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3.Açık ve uzaktan eğitimin örgüt yapısı: 9 madde (9., 10., 11., 12., 13., 14., 15., 16., 17.)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4.Açık ve uzaktan eğitimin yönetimi: 4 madde (18., 19., 20., 21.)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5.Açık ve Uzaktan Eğitim Programı: 6 madde (22., 23., 24., 25., 26., 27.)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6.Açık ve uzaktan eğitimde ölçme ve değerlendirme: 3 madde (28., 29., 30.)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7.Açık ve uzaktan eğitimde öğrenci hizmetleri: 11 madde (31., 32., 33., 34., 35., 36., 37., 38., 39., 40., 45.)</w:t>
      </w:r>
    </w:p>
    <w:p w:rsidR="00537CD4" w:rsidRDefault="00537CD4" w:rsidP="008C691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8.Açık ve uzaktan eğitimde akreditasyon: </w:t>
      </w:r>
      <w:r w:rsidR="0026300B">
        <w:rPr>
          <w:rFonts w:ascii="Times New Roman" w:hAnsi="Times New Roman" w:cs="Times New Roman"/>
          <w:color w:val="000000" w:themeColor="text1"/>
        </w:rPr>
        <w:t>6 madde (41., 42., 43., 44., 46., 47.)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0382">
        <w:rPr>
          <w:rFonts w:ascii="Times New Roman" w:hAnsi="Times New Roman" w:cs="Times New Roman"/>
          <w:b/>
          <w:color w:val="000000" w:themeColor="text1"/>
        </w:rPr>
        <w:t>Derecelendirme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382">
        <w:rPr>
          <w:rFonts w:ascii="Times New Roman" w:hAnsi="Times New Roman" w:cs="Times New Roman"/>
          <w:color w:val="000000" w:themeColor="text1"/>
        </w:rPr>
        <w:t xml:space="preserve">5'li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Likert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 xml:space="preserve"> ölçeği, 1=Hiç Katılmıyorum- 2=Katılmıyorum- 3=Kararsızım- 4=Katılıyorum- 5=Tamamen Katılıyorum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0382">
        <w:rPr>
          <w:rFonts w:ascii="Times New Roman" w:hAnsi="Times New Roman" w:cs="Times New Roman"/>
          <w:b/>
          <w:color w:val="000000" w:themeColor="text1"/>
        </w:rPr>
        <w:t>Ölçeğin puanlanması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382">
        <w:rPr>
          <w:rFonts w:ascii="Times New Roman" w:hAnsi="Times New Roman" w:cs="Times New Roman"/>
          <w:color w:val="000000" w:themeColor="text1"/>
        </w:rPr>
        <w:t>Ölçekte ters madde bulunmamaktadır.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110382">
        <w:rPr>
          <w:rFonts w:ascii="Times New Roman" w:hAnsi="Times New Roman" w:cs="Times New Roman"/>
          <w:color w:val="000000" w:themeColor="text1"/>
        </w:rPr>
        <w:t xml:space="preserve">Aritmetik ortalamanın değerlendirme aralığı için (5-1=4) hesaplanan aralık katsayısına göre </w:t>
      </w:r>
      <w:proofErr w:type="gramStart"/>
      <w:r w:rsidRPr="00110382">
        <w:rPr>
          <w:rFonts w:ascii="Times New Roman" w:hAnsi="Times New Roman" w:cs="Times New Roman"/>
          <w:color w:val="000000" w:themeColor="text1"/>
        </w:rPr>
        <w:t>( 4</w:t>
      </w:r>
      <w:proofErr w:type="gramEnd"/>
      <w:r w:rsidRPr="00110382">
        <w:rPr>
          <w:rFonts w:ascii="Times New Roman" w:hAnsi="Times New Roman" w:cs="Times New Roman"/>
          <w:color w:val="000000" w:themeColor="text1"/>
        </w:rPr>
        <w:t>/5=0,80) seçenek aralıkları düzenlenmiştir.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0382">
        <w:rPr>
          <w:rFonts w:ascii="Times New Roman" w:hAnsi="Times New Roman" w:cs="Times New Roman"/>
          <w:b/>
          <w:color w:val="000000" w:themeColor="text1"/>
        </w:rPr>
        <w:t>Ölçeğin Değerlendirilmesi</w:t>
      </w:r>
    </w:p>
    <w:p w:rsidR="00446E0F" w:rsidRDefault="00446E0F" w:rsidP="0011038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46E0F">
        <w:rPr>
          <w:rFonts w:ascii="Times New Roman" w:hAnsi="Times New Roman" w:cs="Times New Roman"/>
          <w:color w:val="000000" w:themeColor="text1"/>
        </w:rPr>
        <w:t xml:space="preserve">Ölçeğin her bir alt boyutundan alınan yüksek puan </w:t>
      </w:r>
      <w:r>
        <w:rPr>
          <w:rFonts w:ascii="Times New Roman" w:hAnsi="Times New Roman" w:cs="Times New Roman"/>
          <w:color w:val="000000" w:themeColor="text1"/>
        </w:rPr>
        <w:t>kurumun</w:t>
      </w:r>
      <w:r w:rsidRPr="00446E0F">
        <w:rPr>
          <w:rFonts w:ascii="Times New Roman" w:hAnsi="Times New Roman" w:cs="Times New Roman"/>
          <w:color w:val="000000" w:themeColor="text1"/>
        </w:rPr>
        <w:t xml:space="preserve"> ilgili alt boyutun değerlendirdiği </w:t>
      </w:r>
      <w:r>
        <w:rPr>
          <w:rFonts w:ascii="Times New Roman" w:hAnsi="Times New Roman" w:cs="Times New Roman"/>
          <w:color w:val="000000" w:themeColor="text1"/>
        </w:rPr>
        <w:t>akreditasyon yeterlilik düzeyine</w:t>
      </w:r>
      <w:r w:rsidRPr="00446E0F">
        <w:rPr>
          <w:rFonts w:ascii="Times New Roman" w:hAnsi="Times New Roman" w:cs="Times New Roman"/>
          <w:color w:val="000000" w:themeColor="text1"/>
        </w:rPr>
        <w:t xml:space="preserve"> sahip olduğunu göstermektedir. Ölçek puanlanırken alt boyutların ve toplam puanın ortalaması alınmaktadır.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0382">
        <w:rPr>
          <w:rFonts w:ascii="Times New Roman" w:hAnsi="Times New Roman" w:cs="Times New Roman"/>
          <w:b/>
          <w:color w:val="000000" w:themeColor="text1"/>
        </w:rPr>
        <w:t>Geçerlik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382">
        <w:rPr>
          <w:rFonts w:ascii="Times New Roman" w:hAnsi="Times New Roman" w:cs="Times New Roman"/>
          <w:color w:val="000000" w:themeColor="text1"/>
        </w:rPr>
        <w:t>Sekiz alt boyutun birlikte açıkladığı toplam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varyans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 xml:space="preserve"> değeri ise </w:t>
      </w:r>
      <w:proofErr w:type="gramStart"/>
      <w:r w:rsidRPr="00110382">
        <w:rPr>
          <w:rFonts w:ascii="Times New Roman" w:hAnsi="Times New Roman" w:cs="Times New Roman"/>
          <w:color w:val="000000" w:themeColor="text1"/>
        </w:rPr>
        <w:t>% 65,632</w:t>
      </w:r>
      <w:proofErr w:type="gramEnd"/>
      <w:r w:rsidRPr="00110382">
        <w:rPr>
          <w:rFonts w:ascii="Times New Roman" w:hAnsi="Times New Roman" w:cs="Times New Roman"/>
          <w:color w:val="000000" w:themeColor="text1"/>
        </w:rPr>
        <w:t xml:space="preserve"> olmuştur.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Yapılan istatistiksel işlemlerde bir maddenin test kapsamında kalabilmesi için, faktör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yükünün o alt boyutta en az ,30 olması temel alınmıştır. Tüm maddeler, açıklanan bu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özelliğe sahip olduğu için test kapsamındaki 60 maddenin tümünün geçerli olduğu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anlaşılmıştır.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382">
        <w:rPr>
          <w:rFonts w:ascii="Times New Roman" w:hAnsi="Times New Roman" w:cs="Times New Roman"/>
          <w:color w:val="000000" w:themeColor="text1"/>
        </w:rPr>
        <w:t xml:space="preserve">Çalışma grubu üzerinden elde edilen verilere dayalı olarak hesaplanan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Kaiser-Meyer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Olkin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 xml:space="preserve"> değeri</w:t>
      </w:r>
      <w:proofErr w:type="gramStart"/>
      <w:r w:rsidRPr="00110382">
        <w:rPr>
          <w:rFonts w:ascii="Times New Roman" w:hAnsi="Times New Roman" w:cs="Times New Roman"/>
          <w:color w:val="000000" w:themeColor="text1"/>
        </w:rPr>
        <w:t>, ,</w:t>
      </w:r>
      <w:proofErr w:type="gramEnd"/>
      <w:r w:rsidRPr="00110382">
        <w:rPr>
          <w:rFonts w:ascii="Times New Roman" w:hAnsi="Times New Roman" w:cs="Times New Roman"/>
          <w:color w:val="000000" w:themeColor="text1"/>
        </w:rPr>
        <w:t>893’dür.ölçülen özelliğin evren parametresinde çok boyutlu bir özellik olup olmadığını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 xml:space="preserve">belirlemek üzere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Bartlett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 xml:space="preserve"> testi (8144,572) yapılmış ve istatistiksel açıdan ,001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düzeyinde anlamlı bir sonuç bulunmuştur.</w:t>
      </w:r>
    </w:p>
    <w:p w:rsid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382">
        <w:rPr>
          <w:rFonts w:ascii="Times New Roman" w:hAnsi="Times New Roman" w:cs="Times New Roman"/>
          <w:color w:val="000000" w:themeColor="text1"/>
        </w:rPr>
        <w:t>Tüm alt boyutlar arasında hesaplanan korelasyon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katsayılarının en az ,001 düzeyinde anlamlı olduğu anlaşılmıştır.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10382" w:rsidRP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0382">
        <w:rPr>
          <w:rFonts w:ascii="Times New Roman" w:hAnsi="Times New Roman" w:cs="Times New Roman"/>
          <w:b/>
          <w:color w:val="000000" w:themeColor="text1"/>
        </w:rPr>
        <w:t>Güvenirlik</w:t>
      </w:r>
    </w:p>
    <w:p w:rsidR="00110382" w:rsidRDefault="00110382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382">
        <w:rPr>
          <w:rFonts w:ascii="Times New Roman" w:hAnsi="Times New Roman" w:cs="Times New Roman"/>
          <w:color w:val="000000" w:themeColor="text1"/>
        </w:rPr>
        <w:t>Ölçeğin güvenirliği iki ayrı yöntem ile sınanmıştır. Bunlardan ilki test-tekrar test güvenirliğidir.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Açık ve Uzaktan Eğitimde Akreditasyon Yeterlilik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 xml:space="preserve">Düzeyini Belirleme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Ölçeği’nin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 xml:space="preserve"> iç tutarlılık katsayıları ,9683 ile ,8111 arasında değişim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 xml:space="preserve">göstermiştir. Test toplamının </w:t>
      </w:r>
      <w:proofErr w:type="spellStart"/>
      <w:r w:rsidRPr="00110382">
        <w:rPr>
          <w:rFonts w:ascii="Times New Roman" w:hAnsi="Times New Roman" w:cs="Times New Roman"/>
          <w:color w:val="000000" w:themeColor="text1"/>
        </w:rPr>
        <w:t>Cronbach</w:t>
      </w:r>
      <w:proofErr w:type="spellEnd"/>
      <w:r w:rsidRPr="00110382">
        <w:rPr>
          <w:rFonts w:ascii="Times New Roman" w:hAnsi="Times New Roman" w:cs="Times New Roman"/>
          <w:color w:val="000000" w:themeColor="text1"/>
        </w:rPr>
        <w:t xml:space="preserve"> Alfa değeri ,9683’dür ve bu sonuca dayalı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0382">
        <w:rPr>
          <w:rFonts w:ascii="Times New Roman" w:hAnsi="Times New Roman" w:cs="Times New Roman"/>
          <w:color w:val="000000" w:themeColor="text1"/>
        </w:rPr>
        <w:t>olarak geliştirilen ölçeğin güvenilir olduğuna karar verilmiştir.</w:t>
      </w:r>
    </w:p>
    <w:p w:rsidR="00856914" w:rsidRDefault="00856914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6914" w:rsidRDefault="00856914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6914" w:rsidRPr="008C6911" w:rsidRDefault="00856914" w:rsidP="001103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6914">
        <w:rPr>
          <w:rFonts w:ascii="Times New Roman" w:hAnsi="Times New Roman" w:cs="Times New Roman"/>
          <w:b/>
          <w:color w:val="000000" w:themeColor="text1"/>
        </w:rPr>
        <w:t>İzin için iletişim adresi</w:t>
      </w:r>
      <w:r>
        <w:rPr>
          <w:rFonts w:ascii="Times New Roman" w:hAnsi="Times New Roman" w:cs="Times New Roman"/>
          <w:color w:val="000000" w:themeColor="text1"/>
        </w:rPr>
        <w:t>: ertugcan@gmail.com</w:t>
      </w:r>
    </w:p>
    <w:sectPr w:rsidR="00856914" w:rsidRPr="008C6911" w:rsidSect="00924B1E">
      <w:headerReference w:type="default" r:id="rId7"/>
      <w:pgSz w:w="11906" w:h="16838"/>
      <w:pgMar w:top="851" w:right="1134" w:bottom="851" w:left="1418" w:header="709" w:footer="709" w:gutter="0"/>
      <w:pgNumType w:start="5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94" w:rsidRDefault="00FE3294" w:rsidP="007C249D">
      <w:pPr>
        <w:spacing w:after="0" w:line="240" w:lineRule="auto"/>
      </w:pPr>
      <w:r>
        <w:separator/>
      </w:r>
    </w:p>
  </w:endnote>
  <w:endnote w:type="continuationSeparator" w:id="0">
    <w:p w:rsidR="00FE3294" w:rsidRDefault="00FE3294" w:rsidP="007C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94" w:rsidRDefault="00FE3294" w:rsidP="007C249D">
      <w:pPr>
        <w:spacing w:after="0" w:line="240" w:lineRule="auto"/>
      </w:pPr>
      <w:r>
        <w:separator/>
      </w:r>
    </w:p>
  </w:footnote>
  <w:footnote w:type="continuationSeparator" w:id="0">
    <w:p w:rsidR="00FE3294" w:rsidRDefault="00FE3294" w:rsidP="007C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911" w:rsidRPr="00457BFF" w:rsidRDefault="008C6911" w:rsidP="00F12841">
    <w:pPr>
      <w:pStyle w:val="stBilgi"/>
      <w:jc w:val="center"/>
      <w:rPr>
        <w:rFonts w:asciiTheme="majorHAnsi" w:hAnsiTheme="majorHAnsi" w:cs="Times New Roman"/>
        <w:b/>
      </w:rPr>
    </w:pPr>
    <w:r w:rsidRPr="008C6911">
      <w:rPr>
        <w:rFonts w:asciiTheme="majorHAnsi" w:hAnsiTheme="majorHAnsi" w:cs="Times New Roman"/>
        <w:b/>
      </w:rPr>
      <w:t xml:space="preserve">Açık ve Uzaktan Eğitim Akreditasyon </w:t>
    </w:r>
    <w:proofErr w:type="gramStart"/>
    <w:r w:rsidR="007B0CBF">
      <w:rPr>
        <w:rFonts w:asciiTheme="majorHAnsi" w:hAnsiTheme="majorHAnsi" w:cs="Times New Roman"/>
        <w:b/>
      </w:rPr>
      <w:t xml:space="preserve">Standartları </w:t>
    </w:r>
    <w:r w:rsidRPr="008C6911">
      <w:rPr>
        <w:rFonts w:asciiTheme="majorHAnsi" w:hAnsiTheme="majorHAnsi" w:cs="Times New Roman"/>
        <w:b/>
      </w:rPr>
      <w:t xml:space="preserve"> Ölçeği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D75"/>
    <w:multiLevelType w:val="hybridMultilevel"/>
    <w:tmpl w:val="B12A4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F9C"/>
    <w:multiLevelType w:val="hybridMultilevel"/>
    <w:tmpl w:val="57327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DEE"/>
    <w:rsid w:val="000035C7"/>
    <w:rsid w:val="0002488E"/>
    <w:rsid w:val="00044BC8"/>
    <w:rsid w:val="000A246B"/>
    <w:rsid w:val="000F07FD"/>
    <w:rsid w:val="00110382"/>
    <w:rsid w:val="001737E3"/>
    <w:rsid w:val="00190F2B"/>
    <w:rsid w:val="001C15CC"/>
    <w:rsid w:val="001D2F2F"/>
    <w:rsid w:val="0026300B"/>
    <w:rsid w:val="00275AD3"/>
    <w:rsid w:val="00305389"/>
    <w:rsid w:val="003160A7"/>
    <w:rsid w:val="0031700E"/>
    <w:rsid w:val="003259A8"/>
    <w:rsid w:val="00351B6D"/>
    <w:rsid w:val="00400593"/>
    <w:rsid w:val="004364A4"/>
    <w:rsid w:val="00442C06"/>
    <w:rsid w:val="00446E0F"/>
    <w:rsid w:val="00457BFF"/>
    <w:rsid w:val="004703E9"/>
    <w:rsid w:val="004E0C62"/>
    <w:rsid w:val="004F5BD9"/>
    <w:rsid w:val="00522F88"/>
    <w:rsid w:val="00523B95"/>
    <w:rsid w:val="00537CD4"/>
    <w:rsid w:val="00546636"/>
    <w:rsid w:val="00566E53"/>
    <w:rsid w:val="00577AC3"/>
    <w:rsid w:val="00584B3E"/>
    <w:rsid w:val="005A1C0A"/>
    <w:rsid w:val="005A58EE"/>
    <w:rsid w:val="005D7792"/>
    <w:rsid w:val="00620524"/>
    <w:rsid w:val="006E369D"/>
    <w:rsid w:val="006F6729"/>
    <w:rsid w:val="00724DEE"/>
    <w:rsid w:val="00787F16"/>
    <w:rsid w:val="007B0CBF"/>
    <w:rsid w:val="007C249D"/>
    <w:rsid w:val="007E594F"/>
    <w:rsid w:val="007E67C9"/>
    <w:rsid w:val="00853074"/>
    <w:rsid w:val="00856914"/>
    <w:rsid w:val="008A2E4C"/>
    <w:rsid w:val="008C437F"/>
    <w:rsid w:val="008C6911"/>
    <w:rsid w:val="008E5C7A"/>
    <w:rsid w:val="008F5F6B"/>
    <w:rsid w:val="00924B1E"/>
    <w:rsid w:val="00956394"/>
    <w:rsid w:val="00975171"/>
    <w:rsid w:val="00997D4C"/>
    <w:rsid w:val="009B4633"/>
    <w:rsid w:val="009B4ECD"/>
    <w:rsid w:val="009E3671"/>
    <w:rsid w:val="00A158C6"/>
    <w:rsid w:val="00A34C26"/>
    <w:rsid w:val="00A50EB7"/>
    <w:rsid w:val="00A67FE4"/>
    <w:rsid w:val="00AC6100"/>
    <w:rsid w:val="00B04782"/>
    <w:rsid w:val="00B662F5"/>
    <w:rsid w:val="00B94463"/>
    <w:rsid w:val="00BA2BE7"/>
    <w:rsid w:val="00BA6AEE"/>
    <w:rsid w:val="00C00FAB"/>
    <w:rsid w:val="00C22A35"/>
    <w:rsid w:val="00C42421"/>
    <w:rsid w:val="00C87175"/>
    <w:rsid w:val="00CC43F2"/>
    <w:rsid w:val="00CD102C"/>
    <w:rsid w:val="00D03AD4"/>
    <w:rsid w:val="00D06C55"/>
    <w:rsid w:val="00D52107"/>
    <w:rsid w:val="00DA3757"/>
    <w:rsid w:val="00DC51F4"/>
    <w:rsid w:val="00DD2814"/>
    <w:rsid w:val="00DD32D5"/>
    <w:rsid w:val="00DD4A22"/>
    <w:rsid w:val="00E22C71"/>
    <w:rsid w:val="00E31B1D"/>
    <w:rsid w:val="00E744BA"/>
    <w:rsid w:val="00E928E1"/>
    <w:rsid w:val="00E942FF"/>
    <w:rsid w:val="00E976E8"/>
    <w:rsid w:val="00EB184F"/>
    <w:rsid w:val="00EB28BA"/>
    <w:rsid w:val="00ED5FC9"/>
    <w:rsid w:val="00ED7E0B"/>
    <w:rsid w:val="00EE5C66"/>
    <w:rsid w:val="00EF5745"/>
    <w:rsid w:val="00F012BC"/>
    <w:rsid w:val="00F12841"/>
    <w:rsid w:val="00F77083"/>
    <w:rsid w:val="00FA7C82"/>
    <w:rsid w:val="00FC17A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5324"/>
  <w15:docId w15:val="{6D4CFD26-9D3A-4224-9764-85D13A42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2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C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49D"/>
  </w:style>
  <w:style w:type="paragraph" w:styleId="AltBilgi">
    <w:name w:val="footer"/>
    <w:basedOn w:val="Normal"/>
    <w:link w:val="AltBilgiChar"/>
    <w:uiPriority w:val="99"/>
    <w:unhideWhenUsed/>
    <w:rsid w:val="007C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ERTUĞ CAN</cp:lastModifiedBy>
  <cp:revision>60</cp:revision>
  <cp:lastPrinted>2011-04-13T11:08:00Z</cp:lastPrinted>
  <dcterms:created xsi:type="dcterms:W3CDTF">2011-04-11T08:40:00Z</dcterms:created>
  <dcterms:modified xsi:type="dcterms:W3CDTF">2019-01-14T12:57:00Z</dcterms:modified>
</cp:coreProperties>
</file>